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53A25B" w14:textId="4710ED7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BF707B">
        <w:rPr>
          <w:bCs/>
          <w:noProof w:val="0"/>
          <w:sz w:val="24"/>
          <w:szCs w:val="24"/>
        </w:rPr>
        <w:t>0659</w:t>
      </w:r>
      <w:r w:rsidR="00F30718">
        <w:rPr>
          <w:bCs/>
          <w:noProof w:val="0"/>
          <w:sz w:val="24"/>
          <w:szCs w:val="24"/>
        </w:rPr>
        <w:t>6</w:t>
      </w:r>
      <w:bookmarkStart w:id="1" w:name="_GoBack"/>
      <w:bookmarkEnd w:id="1"/>
    </w:p>
    <w:p w14:paraId="70884A75" w14:textId="77777777"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112F1A">
        <w:rPr>
          <w:rFonts w:eastAsia="SimSun"/>
          <w:noProof w:val="0"/>
          <w:sz w:val="24"/>
          <w:szCs w:val="24"/>
          <w:lang w:eastAsia="zh-CN"/>
        </w:rPr>
        <w:t>29</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79D5CB2" w14:textId="77777777" w:rsidR="00CD4C7B" w:rsidRPr="00B266B0" w:rsidRDefault="00CD4C7B" w:rsidP="00CD4C7B">
      <w:pPr>
        <w:pStyle w:val="Header"/>
        <w:rPr>
          <w:bCs/>
          <w:noProof w:val="0"/>
          <w:sz w:val="24"/>
        </w:rPr>
      </w:pPr>
    </w:p>
    <w:p w14:paraId="2AF9EB9C" w14:textId="77777777" w:rsidR="00CD4C7B" w:rsidRPr="00B266B0" w:rsidRDefault="00CD4C7B" w:rsidP="00CD4C7B">
      <w:pPr>
        <w:pStyle w:val="Header"/>
        <w:rPr>
          <w:bCs/>
          <w:noProof w:val="0"/>
          <w:sz w:val="24"/>
        </w:rPr>
      </w:pPr>
    </w:p>
    <w:p w14:paraId="50D09C6F" w14:textId="6C95B61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672B">
        <w:rPr>
          <w:rFonts w:cs="Arial"/>
          <w:b/>
          <w:bCs/>
          <w:sz w:val="24"/>
        </w:rPr>
        <w:t>10.2.5</w:t>
      </w:r>
    </w:p>
    <w:p w14:paraId="6E0E2337"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F69ED77" w14:textId="622D231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84749">
        <w:rPr>
          <w:rFonts w:ascii="Arial" w:hAnsi="Arial" w:cs="Arial"/>
          <w:b/>
          <w:bCs/>
          <w:sz w:val="24"/>
        </w:rPr>
        <w:t>S</w:t>
      </w:r>
      <w:r w:rsidR="00F9053E">
        <w:rPr>
          <w:rFonts w:ascii="Arial" w:hAnsi="Arial" w:cs="Arial"/>
          <w:b/>
          <w:bCs/>
          <w:sz w:val="24"/>
        </w:rPr>
        <w:t xml:space="preserve">upporting 1Tx UE in </w:t>
      </w:r>
      <w:r w:rsidR="00E32615">
        <w:rPr>
          <w:rFonts w:ascii="Arial" w:hAnsi="Arial" w:cs="Arial"/>
          <w:b/>
          <w:bCs/>
          <w:sz w:val="24"/>
        </w:rPr>
        <w:t>EN-DC</w:t>
      </w:r>
    </w:p>
    <w:p w14:paraId="0DC7CB12"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44C6270A"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0D478A3" w14:textId="77777777" w:rsidR="00CD4C7B" w:rsidRPr="006E13D1" w:rsidRDefault="00CD4C7B" w:rsidP="00CD4C7B">
      <w:pPr>
        <w:pStyle w:val="Heading1"/>
      </w:pPr>
      <w:r w:rsidRPr="006E13D1">
        <w:t>1</w:t>
      </w:r>
      <w:r w:rsidRPr="006E13D1">
        <w:tab/>
      </w:r>
      <w:r w:rsidR="0056573F">
        <w:t>Introduction</w:t>
      </w:r>
    </w:p>
    <w:p w14:paraId="7224BC0F" w14:textId="3673D211" w:rsidR="00F9053E" w:rsidRPr="0067155B" w:rsidRDefault="00F9053E" w:rsidP="00F9053E">
      <w:r w:rsidRPr="00A90A81">
        <w:t>RAN1#89 agreed</w:t>
      </w:r>
      <w:r>
        <w:t xml:space="preserve"> </w:t>
      </w:r>
      <w:r w:rsidR="0076672B">
        <w:t xml:space="preserve">(see </w:t>
      </w:r>
      <w:hyperlink r:id="rId12" w:history="1">
        <w:r w:rsidR="0076672B" w:rsidRPr="0076672B">
          <w:rPr>
            <w:rStyle w:val="Hyperlink"/>
          </w:rPr>
          <w:t xml:space="preserve">RAN1#89 draft </w:t>
        </w:r>
        <w:r w:rsidR="0076672B">
          <w:rPr>
            <w:rStyle w:val="Hyperlink"/>
          </w:rPr>
          <w:t>report</w:t>
        </w:r>
      </w:hyperlink>
      <w:r w:rsidR="0076672B">
        <w:t>)</w:t>
      </w:r>
      <w:r w:rsidR="0076672B" w:rsidRPr="00A90A81">
        <w:t xml:space="preserve"> </w:t>
      </w:r>
      <w:r w:rsidRPr="00A90A81">
        <w:t xml:space="preserve">that </w:t>
      </w:r>
      <w:r>
        <w:t xml:space="preserve">5G </w:t>
      </w:r>
      <w:r w:rsidRPr="00A90A81">
        <w:t>NR needs to support non-standalone (NSA) NR UE</w:t>
      </w:r>
      <w:r>
        <w:t>s,</w:t>
      </w:r>
      <w:r w:rsidRPr="00A90A81">
        <w:t xml:space="preserve"> which may not capable of transmitting two uplinks at the same time when in LTE-NR </w:t>
      </w:r>
      <w:r>
        <w:t>Dual Connectivity (</w:t>
      </w:r>
      <w:r w:rsidRPr="00A90A81">
        <w:t>DC</w:t>
      </w:r>
      <w:r>
        <w:t>)</w:t>
      </w:r>
      <w:r w:rsidRPr="00A90A81">
        <w:t xml:space="preserve"> configuration </w:t>
      </w:r>
      <w:r>
        <w:t xml:space="preserve">i.e. NR needs to support 1Tx UEs for LTE- NR DC. This contribution discusses related RAN2 implications and what issues need to be investigated for supporting NSA UEs with single UL support only. </w:t>
      </w:r>
    </w:p>
    <w:p w14:paraId="064F8A28" w14:textId="77777777" w:rsidR="00CD4C7B" w:rsidRPr="006E13D1" w:rsidRDefault="00CD4C7B" w:rsidP="00CD4C7B">
      <w:pPr>
        <w:pStyle w:val="Heading1"/>
      </w:pPr>
      <w:r w:rsidRPr="006E13D1">
        <w:t>2</w:t>
      </w:r>
      <w:r w:rsidRPr="006E13D1">
        <w:tab/>
      </w:r>
      <w:r w:rsidR="000F275C">
        <w:t xml:space="preserve">Support of 1 Tx UE in </w:t>
      </w:r>
      <w:r w:rsidR="00E32615">
        <w:t>EN-DC</w:t>
      </w:r>
      <w:r w:rsidR="000F275C">
        <w:t xml:space="preserve"> </w:t>
      </w:r>
    </w:p>
    <w:p w14:paraId="3473E58B" w14:textId="2A45C92A" w:rsidR="00F9053E" w:rsidRDefault="00F9053E" w:rsidP="00F9053E">
      <w:pPr>
        <w:tabs>
          <w:tab w:val="left" w:pos="1485"/>
        </w:tabs>
      </w:pPr>
      <w:r w:rsidRPr="00A90A81">
        <w:t>RAN1#89 agreed</w:t>
      </w:r>
      <w:r>
        <w:t xml:space="preserve"> </w:t>
      </w:r>
      <w:r w:rsidR="0076672B">
        <w:t xml:space="preserve">(see </w:t>
      </w:r>
      <w:hyperlink r:id="rId13" w:history="1">
        <w:r w:rsidR="0076672B" w:rsidRPr="0076672B">
          <w:rPr>
            <w:rStyle w:val="Hyperlink"/>
          </w:rPr>
          <w:t xml:space="preserve">RAN1#89 draft </w:t>
        </w:r>
        <w:r w:rsidR="0076672B">
          <w:rPr>
            <w:rStyle w:val="Hyperlink"/>
          </w:rPr>
          <w:t>report</w:t>
        </w:r>
      </w:hyperlink>
      <w:r w:rsidR="0076672B">
        <w:t>)</w:t>
      </w:r>
      <w:r w:rsidRPr="00A90A81">
        <w:t xml:space="preserve"> that </w:t>
      </w:r>
      <w:r>
        <w:t xml:space="preserve">5G </w:t>
      </w:r>
      <w:r w:rsidRPr="00A90A81">
        <w:t>NR needs to support non-standalone (NSA) NR UE</w:t>
      </w:r>
      <w:r>
        <w:t>s,</w:t>
      </w:r>
      <w:r w:rsidRPr="00A90A81">
        <w:t xml:space="preserve"> which may not capable of transmitting two uplinks at the same time</w:t>
      </w:r>
      <w:r>
        <w:t>,</w:t>
      </w:r>
      <w:r w:rsidRPr="00A90A81">
        <w:t xml:space="preserve"> when in LTE-NR </w:t>
      </w:r>
      <w:r>
        <w:t>Dual Connectivity (</w:t>
      </w:r>
      <w:r w:rsidRPr="00A90A81">
        <w:t>DC</w:t>
      </w:r>
      <w:r>
        <w:t>)</w:t>
      </w:r>
      <w:r w:rsidRPr="00A90A81">
        <w:t xml:space="preserve"> configuration </w:t>
      </w:r>
      <w:r>
        <w:t xml:space="preserve">i.e. NR needs to support 1Tx UEs for LTE- NR DC. </w:t>
      </w:r>
    </w:p>
    <w:p w14:paraId="5D39C422" w14:textId="77777777" w:rsidR="00F9053E" w:rsidRPr="00A70F8C" w:rsidRDefault="00F9053E" w:rsidP="00F9053E">
      <w:pPr>
        <w:ind w:left="720"/>
        <w:rPr>
          <w:i/>
        </w:rPr>
      </w:pPr>
      <w:r w:rsidRPr="00A70F8C">
        <w:rPr>
          <w:i/>
          <w:highlight w:val="green"/>
        </w:rPr>
        <w:t>Agreements</w:t>
      </w:r>
      <w:r w:rsidRPr="00A70F8C">
        <w:rPr>
          <w:i/>
        </w:rPr>
        <w:t>:</w:t>
      </w:r>
    </w:p>
    <w:p w14:paraId="0C2646DD" w14:textId="77777777" w:rsidR="00F9053E" w:rsidRPr="00A70F8C" w:rsidRDefault="00F9053E" w:rsidP="00F9053E">
      <w:pPr>
        <w:numPr>
          <w:ilvl w:val="0"/>
          <w:numId w:val="5"/>
        </w:numPr>
        <w:tabs>
          <w:tab w:val="clear" w:pos="720"/>
          <w:tab w:val="num" w:pos="1440"/>
        </w:tabs>
        <w:spacing w:after="0"/>
        <w:ind w:left="1440"/>
        <w:rPr>
          <w:rFonts w:eastAsia="MS Mincho"/>
          <w:i/>
          <w:lang w:val="en-US" w:eastAsia="ja-JP"/>
        </w:rPr>
      </w:pPr>
      <w:r w:rsidRPr="00A70F8C">
        <w:rPr>
          <w:rFonts w:eastAsia="MS Mincho"/>
          <w:i/>
          <w:lang w:val="en-US" w:eastAsia="ja-JP"/>
        </w:rPr>
        <w:t xml:space="preserve">For NR NSA for a UE, NR supports the case that when the UE is </w:t>
      </w:r>
      <w:r w:rsidRPr="00A70F8C">
        <w:rPr>
          <w:rFonts w:eastAsia="MS Mincho"/>
          <w:i/>
          <w:lang w:eastAsia="ja-JP"/>
        </w:rPr>
        <w:t>configured with multiple UL carriers on different frequencies (where there is at least one LTE carrier and at least one NR carrier of a different carrier frequency), the UE operates on only one of the carriers at a given time among a pair of LTE and NR carriers</w:t>
      </w:r>
    </w:p>
    <w:p w14:paraId="33793F16" w14:textId="77777777" w:rsidR="00F9053E" w:rsidRPr="00A70F8C" w:rsidRDefault="00F9053E" w:rsidP="00F9053E">
      <w:pPr>
        <w:numPr>
          <w:ilvl w:val="1"/>
          <w:numId w:val="5"/>
        </w:numPr>
        <w:tabs>
          <w:tab w:val="clear" w:pos="1440"/>
          <w:tab w:val="num" w:pos="2160"/>
        </w:tabs>
        <w:spacing w:after="0"/>
        <w:ind w:left="2160"/>
        <w:rPr>
          <w:rFonts w:eastAsia="MS Mincho"/>
          <w:i/>
          <w:lang w:val="en-US" w:eastAsia="ja-JP"/>
        </w:rPr>
      </w:pPr>
      <w:r w:rsidRPr="00A70F8C">
        <w:rPr>
          <w:rFonts w:eastAsia="MS Mincho"/>
          <w:i/>
          <w:lang w:eastAsia="ja-JP"/>
        </w:rPr>
        <w:t>FFS whether or not there is specification impact</w:t>
      </w:r>
    </w:p>
    <w:p w14:paraId="4D760EAD" w14:textId="77777777" w:rsidR="00F9053E" w:rsidRPr="00A70F8C" w:rsidRDefault="00F9053E" w:rsidP="00F9053E">
      <w:pPr>
        <w:numPr>
          <w:ilvl w:val="2"/>
          <w:numId w:val="5"/>
        </w:numPr>
        <w:tabs>
          <w:tab w:val="clear" w:pos="2160"/>
          <w:tab w:val="num" w:pos="2880"/>
        </w:tabs>
        <w:spacing w:after="0"/>
        <w:ind w:left="2880"/>
        <w:rPr>
          <w:rFonts w:eastAsia="MS Mincho"/>
          <w:i/>
          <w:lang w:val="en-US" w:eastAsia="ja-JP"/>
        </w:rPr>
      </w:pPr>
      <w:r w:rsidRPr="00A70F8C">
        <w:rPr>
          <w:rFonts w:eastAsia="MS Mincho"/>
          <w:i/>
          <w:lang w:eastAsia="ja-JP"/>
        </w:rPr>
        <w:t>If there is RAN1 specification impact, aim to minimize the specification impact for NR</w:t>
      </w:r>
    </w:p>
    <w:p w14:paraId="451DDAF7" w14:textId="77777777" w:rsidR="00F9053E" w:rsidRPr="00A70F8C" w:rsidRDefault="00F9053E" w:rsidP="00F9053E">
      <w:pPr>
        <w:numPr>
          <w:ilvl w:val="2"/>
          <w:numId w:val="5"/>
        </w:numPr>
        <w:tabs>
          <w:tab w:val="clear" w:pos="2160"/>
          <w:tab w:val="num" w:pos="2880"/>
        </w:tabs>
        <w:spacing w:after="0"/>
        <w:ind w:left="2880"/>
        <w:rPr>
          <w:rFonts w:eastAsia="MS Mincho"/>
          <w:i/>
          <w:lang w:val="en-US" w:eastAsia="ja-JP"/>
        </w:rPr>
      </w:pPr>
      <w:r w:rsidRPr="00A70F8C">
        <w:rPr>
          <w:rFonts w:eastAsia="MS Mincho"/>
          <w:i/>
          <w:lang w:eastAsia="ja-JP"/>
        </w:rPr>
        <w:t xml:space="preserve">Note: this feature by itself is not intended to have any LTE RAN1 specification impact </w:t>
      </w:r>
    </w:p>
    <w:p w14:paraId="25660096" w14:textId="77777777" w:rsidR="00F9053E" w:rsidRPr="00A70F8C" w:rsidRDefault="00F9053E" w:rsidP="00F9053E">
      <w:pPr>
        <w:numPr>
          <w:ilvl w:val="1"/>
          <w:numId w:val="5"/>
        </w:numPr>
        <w:tabs>
          <w:tab w:val="clear" w:pos="1440"/>
          <w:tab w:val="num" w:pos="2160"/>
        </w:tabs>
        <w:spacing w:after="0"/>
        <w:ind w:left="2160"/>
        <w:rPr>
          <w:rFonts w:eastAsia="MS Mincho"/>
          <w:i/>
          <w:lang w:val="en-US" w:eastAsia="ja-JP"/>
        </w:rPr>
      </w:pPr>
      <w:r w:rsidRPr="00A70F8C">
        <w:rPr>
          <w:rFonts w:eastAsia="MS Mincho"/>
          <w:i/>
          <w:lang w:eastAsia="ja-JP"/>
        </w:rPr>
        <w:t>Note: the other case of allowing simultaneous operation on two or more UL carriers is already agreed to be supported</w:t>
      </w:r>
    </w:p>
    <w:p w14:paraId="55313F93" w14:textId="4164FB54" w:rsidR="00F9053E" w:rsidRDefault="00F9053E" w:rsidP="00F9053E">
      <w:pPr>
        <w:tabs>
          <w:tab w:val="left" w:pos="1485"/>
        </w:tabs>
        <w:rPr>
          <w:lang w:val="en-US"/>
        </w:rPr>
      </w:pPr>
    </w:p>
    <w:p w14:paraId="6A31F21F" w14:textId="45295BC9" w:rsidR="00C86D16" w:rsidRDefault="00BD6F7F" w:rsidP="003C299D">
      <w:pPr>
        <w:tabs>
          <w:tab w:val="left" w:pos="1485"/>
        </w:tabs>
      </w:pPr>
      <w:r w:rsidRPr="00BD6F7F">
        <w:rPr>
          <w:lang w:val="en-US"/>
        </w:rPr>
        <w:t xml:space="preserve">The discussion seems to have happened based on contribution </w:t>
      </w:r>
      <w:hyperlink r:id="rId14" w:history="1">
        <w:r w:rsidRPr="00777550">
          <w:rPr>
            <w:rStyle w:val="Hyperlink"/>
          </w:rPr>
          <w:t>R1-1708276</w:t>
        </w:r>
      </w:hyperlink>
      <w:r w:rsidRPr="00777550">
        <w:rPr>
          <w:rFonts w:ascii="Calibri" w:eastAsia="MS Mincho"/>
          <w:lang w:val="en-US" w:eastAsia="ja-JP"/>
        </w:rPr>
        <w:t xml:space="preserve">, with the decision being based on way forward document </w:t>
      </w:r>
      <w:hyperlink r:id="rId15" w:history="1">
        <w:r w:rsidRPr="00777550">
          <w:rPr>
            <w:rStyle w:val="Hyperlink"/>
          </w:rPr>
          <w:t>R1-1709586</w:t>
        </w:r>
      </w:hyperlink>
      <w:r w:rsidRPr="00777550">
        <w:rPr>
          <w:rFonts w:ascii="Calibri"/>
          <w:lang w:val="en-US"/>
        </w:rPr>
        <w:t>.</w:t>
      </w:r>
      <w:r>
        <w:rPr>
          <w:lang w:val="en-US"/>
        </w:rPr>
        <w:t xml:space="preserve"> The reasoning in those documents leading to </w:t>
      </w:r>
      <w:r w:rsidR="00F9053E">
        <w:t>RAN1 deci</w:t>
      </w:r>
      <w:r>
        <w:t xml:space="preserve">sions on 1Tx UE support </w:t>
      </w:r>
      <w:r w:rsidR="004A60AA">
        <w:t>was driven by</w:t>
      </w:r>
      <w:r w:rsidR="00F9053E">
        <w:t xml:space="preserve"> </w:t>
      </w:r>
      <w:r w:rsidR="00F9053E" w:rsidRPr="00A90A81">
        <w:t xml:space="preserve">UE RF implementation issues like intermodulation products, degraded DL sensitivity </w:t>
      </w:r>
      <w:r w:rsidR="00F9053E">
        <w:t xml:space="preserve">especially in certain frequency band combinations. </w:t>
      </w:r>
      <w:r w:rsidR="003C299D">
        <w:t>It is not clear to us why the IDC framework which was introduced precisely to deal with such problems cannot be used instead. Furthermore</w:t>
      </w:r>
      <w:r w:rsidR="00C86D16">
        <w:t xml:space="preserve">, </w:t>
      </w:r>
      <w:r>
        <w:t xml:space="preserve">the examples given in </w:t>
      </w:r>
      <w:hyperlink r:id="rId16" w:history="1">
        <w:r w:rsidRPr="00997198">
          <w:rPr>
            <w:rStyle w:val="Hyperlink"/>
          </w:rPr>
          <w:t>R1-1708276</w:t>
        </w:r>
      </w:hyperlink>
      <w:r w:rsidRPr="009A3A38">
        <w:t xml:space="preserve"> </w:t>
      </w:r>
      <w:r w:rsidR="004A60AA" w:rsidRPr="009A3A38">
        <w:t>do not picture any of the radio protocol stack alternative considered by RAN2</w:t>
      </w:r>
      <w:r w:rsidR="003C299D" w:rsidRPr="009A3A38">
        <w:t xml:space="preserve"> so far</w:t>
      </w:r>
      <w:r>
        <w:t>,</w:t>
      </w:r>
      <w:r w:rsidR="003C299D">
        <w:t xml:space="preserve"> and obviously cannot be agreed before RAN2 analyses them.</w:t>
      </w:r>
      <w:r w:rsidR="00C86D16">
        <w:t xml:space="preserve">. </w:t>
      </w:r>
    </w:p>
    <w:p w14:paraId="69D2A93B" w14:textId="0D3BB90E" w:rsidR="00C86D16" w:rsidRDefault="00C86D16" w:rsidP="00F9053E">
      <w:pPr>
        <w:tabs>
          <w:tab w:val="left" w:pos="1485"/>
        </w:tabs>
      </w:pPr>
      <w:r w:rsidRPr="00C86D16">
        <w:rPr>
          <w:b/>
        </w:rPr>
        <w:t>Proposal 1:</w:t>
      </w:r>
      <w:r>
        <w:t xml:space="preserve"> RAN2 should consider the protocol stack impacts of 1Tx UE to EN-DC and indicate the impacts to RAN1 and RAN4.</w:t>
      </w:r>
    </w:p>
    <w:p w14:paraId="5D60D65F" w14:textId="5EB2FF51" w:rsidR="00F9053E" w:rsidRDefault="00C86D16" w:rsidP="00F9053E">
      <w:pPr>
        <w:tabs>
          <w:tab w:val="left" w:pos="1485"/>
        </w:tabs>
      </w:pPr>
      <w:r>
        <w:t>Also, t</w:t>
      </w:r>
      <w:r w:rsidR="00F9053E">
        <w:t xml:space="preserve">ypically </w:t>
      </w:r>
      <w:r>
        <w:t xml:space="preserve">the </w:t>
      </w:r>
      <w:r w:rsidR="00F9053E">
        <w:t xml:space="preserve">UE RF implementation and performance issues are studied and decided in RAN4. </w:t>
      </w:r>
      <w:r>
        <w:t xml:space="preserve">In our understanding, RAN4 </w:t>
      </w:r>
      <w:r w:rsidR="00F04C49">
        <w:t>should</w:t>
      </w:r>
      <w:r>
        <w:t xml:space="preserve"> now start to consider those aspects as per the RAN1 decision, which may also have implications to RAN2 work. Therefore, t</w:t>
      </w:r>
      <w:r w:rsidR="00F9053E">
        <w:t xml:space="preserve">o better understand </w:t>
      </w:r>
      <w:r>
        <w:t xml:space="preserve">how </w:t>
      </w:r>
      <w:r w:rsidR="00F9053E">
        <w:t>the</w:t>
      </w:r>
      <w:r>
        <w:t>se</w:t>
      </w:r>
      <w:r w:rsidR="00F9053E">
        <w:t xml:space="preserve"> UE RF implementation issues with dual UL </w:t>
      </w:r>
      <w:r>
        <w:t xml:space="preserve">impact RAN2, </w:t>
      </w:r>
      <w:r w:rsidR="00F9053E">
        <w:t>it would be beneficial to request further information from RAN4</w:t>
      </w:r>
      <w:r>
        <w:t xml:space="preserve"> while indicating any issues RAN2 spots. For example, it is not clear whether 1Tx UE support would be a feature that’s per UE (i.e. applicable for all band combinations of EN-DC), per band (i.e. applicable to those band combinations where a </w:t>
      </w:r>
      <w:r w:rsidR="00AB2215">
        <w:t>specific</w:t>
      </w:r>
      <w:r>
        <w:t xml:space="preserve"> band is utilized</w:t>
      </w:r>
      <w:r w:rsidR="00AB2215">
        <w:t xml:space="preserve"> as a part of the band combination</w:t>
      </w:r>
      <w:r>
        <w:t>)</w:t>
      </w:r>
      <w:r w:rsidR="00F9053E">
        <w:t xml:space="preserve"> </w:t>
      </w:r>
      <w:r>
        <w:t xml:space="preserve">or per band combination (i.e. applicable only to certain problematic band combinations). </w:t>
      </w:r>
      <w:r>
        <w:lastRenderedPageBreak/>
        <w:t xml:space="preserve">Therefore, RAN4 should indicate </w:t>
      </w:r>
      <w:r w:rsidR="00F9053E">
        <w:t>which LTE – NR band combinations would be problematic and if this 1Tx UE capability could be limited for those problematic band combinations only.</w:t>
      </w:r>
    </w:p>
    <w:p w14:paraId="670CF0E5" w14:textId="021E0E6B" w:rsidR="00F9053E" w:rsidRDefault="00C86D16" w:rsidP="00F9053E">
      <w:pPr>
        <w:tabs>
          <w:tab w:val="left" w:pos="1485"/>
        </w:tabs>
      </w:pPr>
      <w:r>
        <w:rPr>
          <w:b/>
        </w:rPr>
        <w:t>Proposal 2</w:t>
      </w:r>
      <w:r w:rsidR="00F9053E" w:rsidRPr="00F9053E">
        <w:rPr>
          <w:b/>
        </w:rPr>
        <w:t xml:space="preserve">: </w:t>
      </w:r>
      <w:r w:rsidR="0076672B">
        <w:t xml:space="preserve">Send LS to </w:t>
      </w:r>
      <w:r w:rsidR="00F9053E" w:rsidRPr="00C86D16">
        <w:t xml:space="preserve">RAN4 on </w:t>
      </w:r>
      <w:r w:rsidRPr="00C86D16">
        <w:t>whether the support of 1TX UE for EN-DC would be per UE, per band or per band combination</w:t>
      </w:r>
      <w:r w:rsidR="00F04C49">
        <w:t xml:space="preserve"> and request information on problematic band combinations</w:t>
      </w:r>
      <w:r w:rsidRPr="00C86D16">
        <w:t>.</w:t>
      </w:r>
      <w:r w:rsidR="00F9053E" w:rsidRPr="00C86D16">
        <w:t xml:space="preserve"> </w:t>
      </w:r>
    </w:p>
    <w:p w14:paraId="1E98E62F" w14:textId="2B67A648" w:rsidR="00AB2215" w:rsidRPr="00257F17" w:rsidRDefault="00257F17" w:rsidP="00F9053E">
      <w:pPr>
        <w:tabs>
          <w:tab w:val="left" w:pos="1485"/>
        </w:tabs>
      </w:pPr>
      <w:r w:rsidRPr="00257F17">
        <w:t xml:space="preserve">The RAN1 decision also relates to “NR NSA” operation, which seems to be at least EN-DC. </w:t>
      </w:r>
      <w:r>
        <w:t xml:space="preserve">However, given that RF support may be agnostic to radio technology, it could also be applicable to any MR-DC scenario, but it is not clear whether RAN1 considered this. </w:t>
      </w:r>
      <w:r w:rsidR="00004F0F">
        <w:t>It would also important to hear RAN4’s view</w:t>
      </w:r>
      <w:r w:rsidR="0034481D">
        <w:t>s whether the UE RF challenges are the same or different depending on radio technology.</w:t>
      </w:r>
      <w:r>
        <w:t xml:space="preserve"> Therefore, from RAN2 viewpoint it should be understood whether only EN-DC should be considered or also other MR-DC options.</w:t>
      </w:r>
    </w:p>
    <w:p w14:paraId="7D174313" w14:textId="4262DCF1" w:rsidR="00AB2215" w:rsidRPr="00AB2215" w:rsidRDefault="00AB2215" w:rsidP="00F9053E">
      <w:pPr>
        <w:tabs>
          <w:tab w:val="left" w:pos="1485"/>
        </w:tabs>
      </w:pPr>
      <w:r>
        <w:rPr>
          <w:b/>
        </w:rPr>
        <w:t xml:space="preserve">Proposal 3: </w:t>
      </w:r>
      <w:r w:rsidRPr="00AB2215">
        <w:t>Send LS to RAN1 to clarify whether 1Tx UEs should only be supported for EN-DC, or also for other MR-DC options.</w:t>
      </w:r>
    </w:p>
    <w:p w14:paraId="65C2D9A6" w14:textId="1597E34E" w:rsidR="0034481D" w:rsidRPr="00AB2215" w:rsidRDefault="0034481D" w:rsidP="00F9053E">
      <w:pPr>
        <w:tabs>
          <w:tab w:val="left" w:pos="1485"/>
        </w:tabs>
      </w:pPr>
      <w:r w:rsidRPr="00777550">
        <w:rPr>
          <w:b/>
        </w:rPr>
        <w:t>Proposal 4:</w:t>
      </w:r>
      <w:r>
        <w:t xml:space="preserve"> Ask RAN4 whether UE RF implementation challenges are radio technology agnostic or dependent. </w:t>
      </w:r>
    </w:p>
    <w:p w14:paraId="40AE86C5" w14:textId="1E7D6E67" w:rsidR="0076672B" w:rsidRPr="0076672B" w:rsidRDefault="0076672B" w:rsidP="0076672B">
      <w:pPr>
        <w:pStyle w:val="Heading1"/>
      </w:pPr>
      <w:r w:rsidRPr="006E13D1">
        <w:t>3</w:t>
      </w:r>
      <w:r w:rsidRPr="006E13D1">
        <w:tab/>
      </w:r>
      <w:r>
        <w:t xml:space="preserve">Signalling and system implications </w:t>
      </w:r>
    </w:p>
    <w:p w14:paraId="079F51E2" w14:textId="1B198529" w:rsidR="00F9053E" w:rsidRDefault="0076672B" w:rsidP="00F9053E">
      <w:pPr>
        <w:tabs>
          <w:tab w:val="left" w:pos="1485"/>
        </w:tabs>
        <w:rPr>
          <w:lang w:val="en-US"/>
        </w:rPr>
      </w:pPr>
      <w:r>
        <w:t xml:space="preserve">During the Rel-12 LTE DC study item, the </w:t>
      </w:r>
      <w:r w:rsidR="00F9053E">
        <w:t xml:space="preserve">issue of dual UL was </w:t>
      </w:r>
      <w:r>
        <w:t xml:space="preserve">also </w:t>
      </w:r>
      <w:r w:rsidR="00F9053E">
        <w:t>discussed</w:t>
      </w:r>
      <w:r>
        <w:t xml:space="preserve"> but a</w:t>
      </w:r>
      <w:r w:rsidR="00F9053E">
        <w:t xml:space="preserve">t that time it was concluded by RAN2 that it is less complex to support two simultaneous ULs rather than defining 1 Tx UE support for LTE UL DC.  However, </w:t>
      </w:r>
      <w:r>
        <w:t xml:space="preserve">it seems likely that </w:t>
      </w:r>
      <w:r w:rsidR="00F9053E">
        <w:t>t</w:t>
      </w:r>
      <w:r>
        <w:rPr>
          <w:lang w:val="en-US"/>
        </w:rPr>
        <w:t>he</w:t>
      </w:r>
      <w:r w:rsidR="00F9053E" w:rsidRPr="00D81F5B">
        <w:rPr>
          <w:lang w:val="en-US"/>
        </w:rPr>
        <w:t xml:space="preserve"> UE RF issues </w:t>
      </w:r>
      <w:r>
        <w:rPr>
          <w:lang w:val="en-US"/>
        </w:rPr>
        <w:t>(</w:t>
      </w:r>
      <w:r w:rsidR="00F9053E" w:rsidRPr="00D81F5B">
        <w:rPr>
          <w:lang w:val="en-US"/>
        </w:rPr>
        <w:t xml:space="preserve">especially for frequency bands </w:t>
      </w:r>
      <w:r>
        <w:rPr>
          <w:lang w:val="en-US"/>
        </w:rPr>
        <w:t>&lt;</w:t>
      </w:r>
      <w:r w:rsidR="00F9053E" w:rsidRPr="00D81F5B">
        <w:rPr>
          <w:lang w:val="en-US"/>
        </w:rPr>
        <w:t xml:space="preserve"> 6 GHz</w:t>
      </w:r>
      <w:r>
        <w:rPr>
          <w:lang w:val="en-US"/>
        </w:rPr>
        <w:t>)</w:t>
      </w:r>
      <w:r w:rsidR="00F9053E" w:rsidRPr="00D81F5B">
        <w:rPr>
          <w:lang w:val="en-US"/>
        </w:rPr>
        <w:t xml:space="preserve"> are similar for </w:t>
      </w:r>
      <w:r>
        <w:rPr>
          <w:lang w:val="en-US"/>
        </w:rPr>
        <w:t>EN-DC as well. It’s not clear why RAN1 discussions reached a different conclusion, and from RAN2 viewpoint it seems likely that the support of 1Tx UE will result in differences to design of the EN-DC compared to LTE DC, which could also be indicated to RAN1.</w:t>
      </w:r>
    </w:p>
    <w:p w14:paraId="06150EC4" w14:textId="30DEFCE1" w:rsidR="00F9053E" w:rsidRDefault="00F9053E" w:rsidP="00F9053E">
      <w:pPr>
        <w:tabs>
          <w:tab w:val="left" w:pos="1485"/>
        </w:tabs>
        <w:rPr>
          <w:lang w:val="en-US"/>
        </w:rPr>
      </w:pPr>
      <w:r w:rsidRPr="00F9053E">
        <w:rPr>
          <w:b/>
          <w:lang w:val="en-US"/>
        </w:rPr>
        <w:t>Observation 1:</w:t>
      </w:r>
      <w:r>
        <w:rPr>
          <w:b/>
          <w:lang w:val="en-US"/>
        </w:rPr>
        <w:t xml:space="preserve"> </w:t>
      </w:r>
      <w:r w:rsidRPr="00C86D16">
        <w:rPr>
          <w:lang w:val="en-US"/>
        </w:rPr>
        <w:t xml:space="preserve">Different conclusions on 1 Tx UE in UL DC were reached for LTE – NR </w:t>
      </w:r>
      <w:r w:rsidR="008844A5" w:rsidRPr="00C86D16">
        <w:rPr>
          <w:lang w:val="en-US"/>
        </w:rPr>
        <w:t>UL</w:t>
      </w:r>
      <w:r w:rsidRPr="00C86D16">
        <w:rPr>
          <w:lang w:val="en-US"/>
        </w:rPr>
        <w:t xml:space="preserve"> and LTE UL DC. Reasons for different conclusions are unclear.</w:t>
      </w:r>
    </w:p>
    <w:p w14:paraId="75981A81" w14:textId="54D1B22B" w:rsidR="0076672B" w:rsidRPr="003C0CE1" w:rsidRDefault="0076672B" w:rsidP="00F9053E">
      <w:pPr>
        <w:tabs>
          <w:tab w:val="left" w:pos="1485"/>
        </w:tabs>
        <w:rPr>
          <w:lang w:val="en-US"/>
        </w:rPr>
      </w:pPr>
      <w:r w:rsidRPr="0076672B">
        <w:rPr>
          <w:b/>
          <w:lang w:val="en-US"/>
        </w:rPr>
        <w:t xml:space="preserve">Observation </w:t>
      </w:r>
      <w:r>
        <w:rPr>
          <w:b/>
          <w:lang w:val="en-US"/>
        </w:rPr>
        <w:t>2</w:t>
      </w:r>
      <w:r w:rsidRPr="0076672B">
        <w:rPr>
          <w:b/>
          <w:lang w:val="en-US"/>
        </w:rPr>
        <w:t>:</w:t>
      </w:r>
      <w:r>
        <w:rPr>
          <w:lang w:val="en-US"/>
        </w:rPr>
        <w:t xml:space="preserve"> Assuming support for 1Tx UE for EN-DC will likely create more work for RAN2 design.</w:t>
      </w:r>
    </w:p>
    <w:p w14:paraId="614267FF" w14:textId="1AF104ED" w:rsidR="0076672B" w:rsidRDefault="0076672B" w:rsidP="000F275C">
      <w:r w:rsidRPr="0076672B">
        <w:t>From RAN2</w:t>
      </w:r>
      <w:r>
        <w:t xml:space="preserve"> viewpoint, we can see the following issues coming from the support of 1Tx UE for the design of EN-DC:</w:t>
      </w:r>
    </w:p>
    <w:p w14:paraId="7607ABF6" w14:textId="1275A732" w:rsidR="0076672B" w:rsidRDefault="0076672B" w:rsidP="0076672B">
      <w:pPr>
        <w:pStyle w:val="ListParagraph"/>
        <w:numPr>
          <w:ilvl w:val="0"/>
          <w:numId w:val="7"/>
        </w:numPr>
      </w:pPr>
      <w:r w:rsidRPr="0076672B">
        <w:rPr>
          <w:b/>
        </w:rPr>
        <w:t>UL scheduling coordination:</w:t>
      </w:r>
      <w:r>
        <w:t xml:space="preserve"> The UL transmissions might be coordinated in a semi-static manner or they could be dynamic. It’s not clear which approach has best performance, and RAN1 seems not to have considered this, either. If UL scheduling coordination is needed, it would require some X2/Xn signalling, which would need RAN3 involvement.</w:t>
      </w:r>
    </w:p>
    <w:p w14:paraId="1A725F43" w14:textId="13F9A357" w:rsidR="0076672B" w:rsidRDefault="0076672B" w:rsidP="0076672B">
      <w:pPr>
        <w:pStyle w:val="ListParagraph"/>
        <w:numPr>
          <w:ilvl w:val="0"/>
          <w:numId w:val="7"/>
        </w:numPr>
      </w:pPr>
      <w:r>
        <w:rPr>
          <w:b/>
        </w:rPr>
        <w:t>UL transmission prioritization:</w:t>
      </w:r>
      <w:r>
        <w:t xml:space="preserve"> If no scheduling coordination is allowed or possible, given that the schedulers are assumed to be independent, there </w:t>
      </w:r>
      <w:r w:rsidR="003C299D">
        <w:t xml:space="preserve">will </w:t>
      </w:r>
      <w:r>
        <w:t>be clashes with UL transmissions. Therefore, some prioritization rules for transmissions are needed.</w:t>
      </w:r>
      <w:r w:rsidR="003C299D">
        <w:t xml:space="preserve"> This impacts RACH procedure, scheduling requests, periodic uplink transmissions and HARQ.</w:t>
      </w:r>
    </w:p>
    <w:p w14:paraId="23766EF3" w14:textId="60288BC8" w:rsidR="0076672B" w:rsidRDefault="0076672B" w:rsidP="0076672B">
      <w:pPr>
        <w:pStyle w:val="ListParagraph"/>
        <w:numPr>
          <w:ilvl w:val="0"/>
          <w:numId w:val="7"/>
        </w:numPr>
      </w:pPr>
    </w:p>
    <w:p w14:paraId="6EF993D7" w14:textId="0E875565" w:rsidR="0076672B" w:rsidRDefault="0076672B" w:rsidP="0076672B">
      <w:pPr>
        <w:pStyle w:val="ListParagraph"/>
        <w:numPr>
          <w:ilvl w:val="0"/>
          <w:numId w:val="7"/>
        </w:numPr>
      </w:pPr>
      <w:r w:rsidRPr="0076672B">
        <w:rPr>
          <w:b/>
        </w:rPr>
        <w:t>RRC message transmission:</w:t>
      </w:r>
      <w:r>
        <w:t xml:space="preserve"> The MCG split SRB is agreed to be supported but SCG split SRB was decided not to be supported. In case S-RLF occurs, any UL messages routed only via the SCG SRB (e.g. measurement results) would stop operating</w:t>
      </w:r>
      <w:r w:rsidR="003C0CE1">
        <w:t xml:space="preserve">, which </w:t>
      </w:r>
      <w:r w:rsidR="003C299D">
        <w:t>should be avoided.</w:t>
      </w:r>
    </w:p>
    <w:p w14:paraId="5A92E1CF" w14:textId="2B8543E8" w:rsidR="003C0CE1" w:rsidRPr="0076672B" w:rsidRDefault="003C0CE1" w:rsidP="0076672B">
      <w:pPr>
        <w:pStyle w:val="ListParagraph"/>
        <w:numPr>
          <w:ilvl w:val="0"/>
          <w:numId w:val="7"/>
        </w:numPr>
      </w:pPr>
      <w:r w:rsidRPr="003C0CE1">
        <w:rPr>
          <w:b/>
        </w:rPr>
        <w:t>UL switching:</w:t>
      </w:r>
      <w:r>
        <w:t xml:space="preserve"> It is not clear whether UL could be configured for both MN and SN still, and how this would affect the configuration. For example, would the control of UL be in MN or SN? How could the switching of UL be done from UE viewpoint, and what are the possible delays (to UP or CP) that could occur with that, and is there a throughput impact? </w:t>
      </w:r>
    </w:p>
    <w:p w14:paraId="1E804902" w14:textId="6675E8C0" w:rsidR="003C0CE1" w:rsidRDefault="003C0CE1" w:rsidP="0076672B">
      <w:pPr>
        <w:pStyle w:val="ListParagraph"/>
        <w:numPr>
          <w:ilvl w:val="0"/>
          <w:numId w:val="7"/>
        </w:numPr>
      </w:pPr>
      <w:r>
        <w:rPr>
          <w:b/>
        </w:rPr>
        <w:t>Support of SCG bearer:</w:t>
      </w:r>
      <w:r>
        <w:t xml:space="preserve"> It’s not clear whether the SCG bearer can be supported at all for 1Tx UEs – given that the purpose of SCG bearer is to offload all data to SN but RRC messages could still be sent over MN, it’s clear that there would be some problems with that. See also section 4 for additional details on this.</w:t>
      </w:r>
    </w:p>
    <w:p w14:paraId="7B6A659A" w14:textId="5B032437" w:rsidR="003C0CE1" w:rsidRPr="0076672B" w:rsidRDefault="003C0CE1" w:rsidP="003C0CE1">
      <w:pPr>
        <w:pStyle w:val="ListParagraph"/>
        <w:numPr>
          <w:ilvl w:val="0"/>
          <w:numId w:val="7"/>
        </w:numPr>
      </w:pPr>
      <w:r w:rsidRPr="0076672B">
        <w:rPr>
          <w:b/>
        </w:rPr>
        <w:t>UE capabilities:</w:t>
      </w:r>
      <w:r>
        <w:t xml:space="preserve"> UE will need to indicate where it supports 1Tx and where 2Tx (depending on RAN4 response).</w:t>
      </w:r>
    </w:p>
    <w:p w14:paraId="50B10027" w14:textId="342D6439" w:rsidR="00D746AF" w:rsidRDefault="003C0CE1" w:rsidP="003C0CE1">
      <w:r w:rsidRPr="003C0CE1">
        <w:rPr>
          <w:b/>
        </w:rPr>
        <w:t>Observation 3:</w:t>
      </w:r>
      <w:r>
        <w:t xml:space="preserve"> 1Tx UE impacts RAN2 EN-DC design of UL scheduling, UL HARQ</w:t>
      </w:r>
      <w:r w:rsidR="003C299D">
        <w:t>, RACH procedure, scheduling request procedure</w:t>
      </w:r>
      <w:r w:rsidR="00A81CCF">
        <w:t>, periodic uplink transmissions</w:t>
      </w:r>
      <w:r>
        <w:t>, SCG bearers, RRC message transmission, switching of UL direction and UE capabilities</w:t>
      </w:r>
      <w:r w:rsidR="00A81CCF">
        <w:t>..</w:t>
      </w:r>
      <w:r>
        <w:t>.</w:t>
      </w:r>
    </w:p>
    <w:p w14:paraId="7675050D" w14:textId="4C6AB4A6" w:rsidR="00A81CCF" w:rsidRDefault="003C299D" w:rsidP="003C0CE1">
      <w:r>
        <w:t xml:space="preserve">In addition, there are no studies comparing the performance </w:t>
      </w:r>
      <w:r w:rsidR="00A81CCF">
        <w:t xml:space="preserve">difference </w:t>
      </w:r>
      <w:r>
        <w:t xml:space="preserve">of such a mode of operation with </w:t>
      </w:r>
      <w:r w:rsidR="00A81CCF">
        <w:t>regular LTE. Given all the restrictions it introduces, it may well turn out to be less efficient than operating in LTE alone.</w:t>
      </w:r>
    </w:p>
    <w:p w14:paraId="0729F097" w14:textId="21B1E13E" w:rsidR="00A81CCF" w:rsidRDefault="00A81CCF" w:rsidP="003C0CE1">
      <w:r w:rsidRPr="00DD3945">
        <w:rPr>
          <w:b/>
        </w:rPr>
        <w:t>Observation 4:</w:t>
      </w:r>
      <w:r>
        <w:t xml:space="preserve"> gains compared to standalone LTE operation needs to be studied.</w:t>
      </w:r>
    </w:p>
    <w:p w14:paraId="42BE563E" w14:textId="0DA0E05A" w:rsidR="003C0CE1" w:rsidRDefault="003C0CE1" w:rsidP="003C0CE1">
      <w:r w:rsidRPr="003C0CE1">
        <w:rPr>
          <w:b/>
        </w:rPr>
        <w:lastRenderedPageBreak/>
        <w:t xml:space="preserve">Proposal </w:t>
      </w:r>
      <w:r w:rsidR="0034481D">
        <w:rPr>
          <w:b/>
        </w:rPr>
        <w:t>5</w:t>
      </w:r>
      <w:r w:rsidRPr="003C0CE1">
        <w:rPr>
          <w:b/>
        </w:rPr>
        <w:t>:</w:t>
      </w:r>
      <w:r>
        <w:t xml:space="preserve"> A dedicated agenda item would be needed to progress the RAN2 work on 1Tx UE.</w:t>
      </w:r>
    </w:p>
    <w:p w14:paraId="6FCB8561" w14:textId="059CDFA2" w:rsidR="00777550" w:rsidRDefault="00777550" w:rsidP="003C0CE1">
      <w:r w:rsidRPr="001B108A">
        <w:rPr>
          <w:b/>
        </w:rPr>
        <w:t>Proposal 6:</w:t>
      </w:r>
      <w:r>
        <w:t xml:space="preserve"> Ask RAN3 whether UL scheduling coordination would be possible to be supported over X2/Xn.</w:t>
      </w:r>
    </w:p>
    <w:p w14:paraId="42E8BE1C" w14:textId="2E13B36B" w:rsidR="00CD4C7B" w:rsidRPr="006E13D1" w:rsidRDefault="00CD4C7B" w:rsidP="00CD4C7B">
      <w:pPr>
        <w:pStyle w:val="Heading1"/>
      </w:pPr>
      <w:r w:rsidRPr="006E13D1">
        <w:t>4</w:t>
      </w:r>
      <w:r w:rsidRPr="006E13D1">
        <w:tab/>
      </w:r>
      <w:r w:rsidR="003C0CE1">
        <w:t>Support of bearer options with 1Tx UE</w:t>
      </w:r>
    </w:p>
    <w:p w14:paraId="185F237D" w14:textId="77777777" w:rsidR="00AB2215" w:rsidRDefault="003C0CE1" w:rsidP="0069172D">
      <w:pPr>
        <w:tabs>
          <w:tab w:val="num" w:pos="720"/>
          <w:tab w:val="left" w:pos="1485"/>
        </w:tabs>
        <w:rPr>
          <w:lang w:val="en-US"/>
        </w:rPr>
      </w:pPr>
      <w:r>
        <w:rPr>
          <w:lang w:val="en-US"/>
        </w:rPr>
        <w:t xml:space="preserve">The </w:t>
      </w:r>
      <w:r w:rsidR="0069172D">
        <w:rPr>
          <w:lang w:val="en-US"/>
        </w:rPr>
        <w:t xml:space="preserve">NSA </w:t>
      </w:r>
      <w:r>
        <w:rPr>
          <w:lang w:val="en-US"/>
        </w:rPr>
        <w:t>a</w:t>
      </w:r>
      <w:r w:rsidR="0069172D">
        <w:rPr>
          <w:lang w:val="en-US"/>
        </w:rPr>
        <w:t>rchitecture option</w:t>
      </w:r>
      <w:r>
        <w:rPr>
          <w:lang w:val="en-US"/>
        </w:rPr>
        <w:t>s are illustrated in figure 1 below</w:t>
      </w:r>
      <w:r w:rsidR="0049679D">
        <w:rPr>
          <w:lang w:val="en-US"/>
        </w:rPr>
        <w:t xml:space="preserve"> (which uses the TR38.801 terminology). </w:t>
      </w:r>
    </w:p>
    <w:p w14:paraId="5F4FDC06" w14:textId="77777777" w:rsidR="00AB2215" w:rsidRPr="00E426FA" w:rsidRDefault="00AB2215" w:rsidP="00AB2215">
      <w:pPr>
        <w:tabs>
          <w:tab w:val="left" w:pos="1485"/>
        </w:tabs>
        <w:rPr>
          <w:lang w:val="en-US"/>
        </w:rPr>
      </w:pPr>
    </w:p>
    <w:p w14:paraId="15B8C0ED" w14:textId="77777777" w:rsidR="00AB2215" w:rsidRPr="00232F3D" w:rsidRDefault="00AB2215" w:rsidP="00AB2215">
      <w:r w:rsidRPr="00196E39">
        <w:rPr>
          <w:noProof/>
          <w:lang w:val="fi-FI" w:eastAsia="ja-JP"/>
        </w:rPr>
        <w:drawing>
          <wp:inline distT="0" distB="0" distL="0" distR="0" wp14:anchorId="2576E846" wp14:editId="5DB979BA">
            <wp:extent cx="5943600" cy="1097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097280"/>
                    </a:xfrm>
                    <a:prstGeom prst="rect">
                      <a:avLst/>
                    </a:prstGeom>
                    <a:noFill/>
                    <a:ln>
                      <a:noFill/>
                    </a:ln>
                  </pic:spPr>
                </pic:pic>
              </a:graphicData>
            </a:graphic>
          </wp:inline>
        </w:drawing>
      </w:r>
    </w:p>
    <w:p w14:paraId="6BCE0967" w14:textId="59C52D71" w:rsidR="00AB2215" w:rsidRPr="00987271" w:rsidRDefault="00AB2215" w:rsidP="00AB2215">
      <w:pPr>
        <w:ind w:left="852" w:firstLine="284"/>
        <w:rPr>
          <w:b/>
          <w:lang w:val="en-US"/>
        </w:rPr>
      </w:pPr>
      <w:r w:rsidRPr="00987271">
        <w:rPr>
          <w:b/>
          <w:lang w:val="en-US"/>
        </w:rPr>
        <w:t>Option 3</w:t>
      </w:r>
      <w:r w:rsidRPr="00987271">
        <w:rPr>
          <w:b/>
          <w:lang w:val="en-US"/>
        </w:rPr>
        <w:tab/>
      </w:r>
      <w:r w:rsidRPr="00987271">
        <w:rPr>
          <w:b/>
          <w:lang w:val="en-US"/>
        </w:rPr>
        <w:tab/>
      </w:r>
      <w:r w:rsidRPr="00987271">
        <w:rPr>
          <w:b/>
          <w:lang w:val="en-US"/>
        </w:rPr>
        <w:tab/>
      </w:r>
      <w:r w:rsidRPr="00987271">
        <w:rPr>
          <w:b/>
          <w:lang w:val="en-US"/>
        </w:rPr>
        <w:tab/>
      </w:r>
      <w:r>
        <w:rPr>
          <w:b/>
          <w:lang w:val="en-US"/>
        </w:rPr>
        <w:tab/>
      </w:r>
      <w:r>
        <w:rPr>
          <w:b/>
          <w:lang w:val="en-US"/>
        </w:rPr>
        <w:tab/>
      </w:r>
      <w:r>
        <w:rPr>
          <w:b/>
          <w:lang w:val="en-US"/>
        </w:rPr>
        <w:tab/>
      </w:r>
      <w:r>
        <w:rPr>
          <w:b/>
          <w:lang w:val="en-US"/>
        </w:rPr>
        <w:tab/>
      </w:r>
      <w:r>
        <w:rPr>
          <w:b/>
          <w:lang w:val="en-US"/>
        </w:rPr>
        <w:tab/>
      </w:r>
      <w:r w:rsidRPr="00987271">
        <w:rPr>
          <w:b/>
          <w:lang w:val="en-US"/>
        </w:rPr>
        <w:t>Option 3A</w:t>
      </w:r>
      <w:r w:rsidRPr="00987271">
        <w:rPr>
          <w:b/>
          <w:lang w:val="en-US"/>
        </w:rPr>
        <w:tab/>
      </w:r>
      <w:r w:rsidRPr="00987271">
        <w:rPr>
          <w:b/>
          <w:lang w:val="en-US"/>
        </w:rPr>
        <w:tab/>
      </w:r>
      <w:r w:rsidRPr="00987271">
        <w:rPr>
          <w:b/>
          <w:lang w:val="en-US"/>
        </w:rPr>
        <w:tab/>
      </w:r>
      <w:r w:rsidRPr="00987271">
        <w:rPr>
          <w:b/>
          <w:lang w:val="en-US"/>
        </w:rPr>
        <w:tab/>
      </w:r>
      <w:r>
        <w:rPr>
          <w:b/>
          <w:lang w:val="en-US"/>
        </w:rPr>
        <w:tab/>
      </w:r>
      <w:r>
        <w:rPr>
          <w:b/>
          <w:lang w:val="en-US"/>
        </w:rPr>
        <w:tab/>
      </w:r>
      <w:r>
        <w:rPr>
          <w:b/>
          <w:lang w:val="en-US"/>
        </w:rPr>
        <w:tab/>
      </w:r>
      <w:r>
        <w:rPr>
          <w:b/>
          <w:lang w:val="en-US"/>
        </w:rPr>
        <w:tab/>
      </w:r>
      <w:r>
        <w:rPr>
          <w:b/>
          <w:lang w:val="en-US"/>
        </w:rPr>
        <w:tab/>
      </w:r>
      <w:r w:rsidRPr="00987271">
        <w:rPr>
          <w:b/>
          <w:lang w:val="en-US"/>
        </w:rPr>
        <w:t>Option 3x</w:t>
      </w:r>
    </w:p>
    <w:p w14:paraId="20E3D42F" w14:textId="54D64FD4" w:rsidR="00AB2215" w:rsidRDefault="00AB2215" w:rsidP="00AB2215">
      <w:pPr>
        <w:jc w:val="center"/>
        <w:rPr>
          <w:lang w:val="en-US"/>
        </w:rPr>
      </w:pPr>
      <w:r>
        <w:rPr>
          <w:lang w:val="en-US"/>
        </w:rPr>
        <w:t xml:space="preserve">Figure 1:  </w:t>
      </w:r>
      <w:r w:rsidRPr="00987271">
        <w:t>Non-standalone (NSA) architecture options</w:t>
      </w:r>
      <w:r>
        <w:t xml:space="preserve"> in </w:t>
      </w:r>
      <w:r>
        <w:rPr>
          <w:lang w:val="en-US"/>
        </w:rPr>
        <w:t>TR38.801</w:t>
      </w:r>
    </w:p>
    <w:p w14:paraId="2167E0D3" w14:textId="77777777" w:rsidR="00777550" w:rsidRDefault="0049679D" w:rsidP="0069172D">
      <w:pPr>
        <w:tabs>
          <w:tab w:val="num" w:pos="720"/>
          <w:tab w:val="left" w:pos="1485"/>
        </w:tabs>
        <w:rPr>
          <w:lang w:val="en-US"/>
        </w:rPr>
      </w:pPr>
      <w:r>
        <w:rPr>
          <w:lang w:val="en-US"/>
        </w:rPr>
        <w:t>However</w:t>
      </w:r>
      <w:r w:rsidR="003C0CE1">
        <w:rPr>
          <w:lang w:val="en-US"/>
        </w:rPr>
        <w:t xml:space="preserve">, </w:t>
      </w:r>
      <w:r>
        <w:rPr>
          <w:lang w:val="en-US"/>
        </w:rPr>
        <w:t xml:space="preserve">instead of architecture options, </w:t>
      </w:r>
      <w:r w:rsidR="00AB2215">
        <w:rPr>
          <w:lang w:val="en-US"/>
        </w:rPr>
        <w:t xml:space="preserve">it seems more useful to </w:t>
      </w:r>
      <w:r w:rsidR="003C0CE1">
        <w:rPr>
          <w:lang w:val="en-US"/>
        </w:rPr>
        <w:t xml:space="preserve">discuss </w:t>
      </w:r>
      <w:r w:rsidR="00AB2215">
        <w:rPr>
          <w:lang w:val="en-US"/>
        </w:rPr>
        <w:t xml:space="preserve">how </w:t>
      </w:r>
      <w:r w:rsidR="003C0CE1">
        <w:rPr>
          <w:lang w:val="en-US"/>
        </w:rPr>
        <w:t>MCG, MCG split, SCG and SCG split bearers</w:t>
      </w:r>
      <w:r>
        <w:rPr>
          <w:lang w:val="en-US"/>
        </w:rPr>
        <w:t xml:space="preserve"> </w:t>
      </w:r>
      <w:r w:rsidR="00AB2215">
        <w:rPr>
          <w:lang w:val="en-US"/>
        </w:rPr>
        <w:t xml:space="preserve">operate </w:t>
      </w:r>
      <w:r>
        <w:rPr>
          <w:lang w:val="en-US"/>
        </w:rPr>
        <w:t>to better anchor the discussion to RAN2 aspects</w:t>
      </w:r>
      <w:r w:rsidR="003C0CE1">
        <w:rPr>
          <w:lang w:val="en-US"/>
        </w:rPr>
        <w:t>.</w:t>
      </w:r>
      <w:r>
        <w:rPr>
          <w:lang w:val="en-US"/>
        </w:rPr>
        <w:t xml:space="preserve"> </w:t>
      </w:r>
      <w:r w:rsidR="00777550">
        <w:rPr>
          <w:lang w:val="en-US"/>
        </w:rPr>
        <w:t>This is depicted in Figure 2.</w:t>
      </w:r>
    </w:p>
    <w:p w14:paraId="1C45EB22" w14:textId="618AF706" w:rsidR="00777550" w:rsidRDefault="00777550" w:rsidP="00DD3945">
      <w:pPr>
        <w:tabs>
          <w:tab w:val="num" w:pos="720"/>
          <w:tab w:val="left" w:pos="1485"/>
        </w:tabs>
        <w:jc w:val="center"/>
        <w:rPr>
          <w:lang w:val="en-US"/>
        </w:rPr>
      </w:pPr>
      <w:r>
        <w:rPr>
          <w:rFonts w:ascii="Calibri" w:eastAsia="MS Mincho" w:hAnsi="Calibri"/>
          <w:sz w:val="22"/>
          <w:szCs w:val="22"/>
          <w:lang w:val="en-US" w:eastAsia="ja-JP"/>
        </w:rPr>
        <w:object w:dxaOrig="7200" w:dyaOrig="2895" w14:anchorId="440A7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44.75pt" o:ole="">
            <v:imagedata r:id="rId18" o:title=""/>
          </v:shape>
          <o:OLEObject Type="Embed" ProgID="Visio.Drawing.11" ShapeID="_x0000_i1025" DrawAspect="Content" ObjectID="_1559150433" r:id="rId19"/>
        </w:object>
      </w:r>
    </w:p>
    <w:p w14:paraId="710B821B" w14:textId="2DADFB02" w:rsidR="00777550" w:rsidRDefault="00777550" w:rsidP="00777550">
      <w:pPr>
        <w:jc w:val="center"/>
        <w:rPr>
          <w:lang w:val="en-US"/>
        </w:rPr>
      </w:pPr>
      <w:r>
        <w:rPr>
          <w:lang w:val="en-US"/>
        </w:rPr>
        <w:t xml:space="preserve">Figure 1:  Bearer options for MR-DC (as shown by current draft TS37.340 in </w:t>
      </w:r>
      <w:hyperlink r:id="rId20" w:history="1">
        <w:r w:rsidRPr="00777550">
          <w:rPr>
            <w:rStyle w:val="Hyperlink"/>
            <w:lang w:val="en-US"/>
          </w:rPr>
          <w:t>R2-1706418</w:t>
        </w:r>
      </w:hyperlink>
      <w:r>
        <w:rPr>
          <w:lang w:val="en-US"/>
        </w:rPr>
        <w:t>)</w:t>
      </w:r>
    </w:p>
    <w:p w14:paraId="1486C5FD" w14:textId="563F31B7" w:rsidR="006141FC" w:rsidRDefault="0049679D" w:rsidP="0069172D">
      <w:pPr>
        <w:tabs>
          <w:tab w:val="num" w:pos="720"/>
          <w:tab w:val="left" w:pos="1485"/>
        </w:tabs>
        <w:rPr>
          <w:lang w:val="en-US"/>
        </w:rPr>
      </w:pPr>
      <w:r>
        <w:rPr>
          <w:lang w:val="en-US"/>
        </w:rPr>
        <w:t>To better illustrate the linkage</w:t>
      </w:r>
      <w:r w:rsidR="00777550">
        <w:rPr>
          <w:lang w:val="en-US"/>
        </w:rPr>
        <w:t xml:space="preserve"> between the bearer and</w:t>
      </w:r>
      <w:r>
        <w:rPr>
          <w:lang w:val="en-US"/>
        </w:rPr>
        <w:t xml:space="preserve"> the architecture options, we note the following:</w:t>
      </w:r>
    </w:p>
    <w:p w14:paraId="18DD5454" w14:textId="5AA2CC37" w:rsidR="006141FC" w:rsidRDefault="0049679D" w:rsidP="006141FC">
      <w:pPr>
        <w:pStyle w:val="ListParagraph"/>
        <w:numPr>
          <w:ilvl w:val="0"/>
          <w:numId w:val="7"/>
        </w:numPr>
        <w:tabs>
          <w:tab w:val="num" w:pos="720"/>
          <w:tab w:val="left" w:pos="1485"/>
        </w:tabs>
        <w:rPr>
          <w:lang w:val="en-US"/>
        </w:rPr>
      </w:pPr>
      <w:r>
        <w:rPr>
          <w:lang w:val="en-US"/>
        </w:rPr>
        <w:t xml:space="preserve">Option 3 supports both the </w:t>
      </w:r>
      <w:r w:rsidR="006141FC">
        <w:rPr>
          <w:lang w:val="en-US"/>
        </w:rPr>
        <w:t xml:space="preserve">MCG and MCG split bearers </w:t>
      </w:r>
    </w:p>
    <w:p w14:paraId="2C298E47" w14:textId="77777777" w:rsidR="0049679D" w:rsidRDefault="0049679D" w:rsidP="006141FC">
      <w:pPr>
        <w:pStyle w:val="ListParagraph"/>
        <w:numPr>
          <w:ilvl w:val="0"/>
          <w:numId w:val="7"/>
        </w:numPr>
        <w:tabs>
          <w:tab w:val="num" w:pos="720"/>
          <w:tab w:val="left" w:pos="1485"/>
        </w:tabs>
        <w:rPr>
          <w:lang w:val="en-US"/>
        </w:rPr>
      </w:pPr>
      <w:r>
        <w:rPr>
          <w:lang w:val="en-US"/>
        </w:rPr>
        <w:t>Option 3A supports only SCG bearer</w:t>
      </w:r>
    </w:p>
    <w:p w14:paraId="28358863" w14:textId="10914A7E" w:rsidR="0049679D" w:rsidRPr="006141FC" w:rsidRDefault="0049679D" w:rsidP="006141FC">
      <w:pPr>
        <w:pStyle w:val="ListParagraph"/>
        <w:numPr>
          <w:ilvl w:val="0"/>
          <w:numId w:val="7"/>
        </w:numPr>
        <w:tabs>
          <w:tab w:val="num" w:pos="720"/>
          <w:tab w:val="left" w:pos="1485"/>
        </w:tabs>
        <w:rPr>
          <w:lang w:val="en-US"/>
        </w:rPr>
      </w:pPr>
      <w:r>
        <w:rPr>
          <w:lang w:val="en-US"/>
        </w:rPr>
        <w:t xml:space="preserve">Option 3X supports SCG split bearer (but may also be considered to support SCG bearers) </w:t>
      </w:r>
    </w:p>
    <w:p w14:paraId="71A0F4BA" w14:textId="6CE6F1A1" w:rsidR="0049679D" w:rsidRDefault="0049679D" w:rsidP="0069172D">
      <w:pPr>
        <w:tabs>
          <w:tab w:val="num" w:pos="720"/>
          <w:tab w:val="left" w:pos="1485"/>
        </w:tabs>
        <w:rPr>
          <w:lang w:val="en-US"/>
        </w:rPr>
      </w:pPr>
      <w:r>
        <w:rPr>
          <w:lang w:val="en-US"/>
        </w:rPr>
        <w:t>For MCG and MCG split bearers, all data goes through MN PDCP, providing the anchoring point towards CN. Even though MCG split bearers allow transmission of UL data over both legs, the end-to-end anchoring is still at MN. Consequently, the same applies for SCG split bearers: While data is anchored at SN PDCP only, it can be sent over MN or SN legs. Therefore, impacts to UL scheduling will not affect the end-to-end data transmission. Both will pose scheduling coordination questions, but nothing related to end-to-end data delivery.</w:t>
      </w:r>
    </w:p>
    <w:p w14:paraId="6E5E5C7A" w14:textId="516324ED" w:rsidR="0049679D" w:rsidRDefault="0049679D" w:rsidP="0069172D">
      <w:pPr>
        <w:tabs>
          <w:tab w:val="num" w:pos="720"/>
          <w:tab w:val="left" w:pos="1485"/>
        </w:tabs>
        <w:rPr>
          <w:lang w:val="en-US"/>
        </w:rPr>
      </w:pPr>
      <w:r w:rsidRPr="0049679D">
        <w:rPr>
          <w:b/>
          <w:lang w:val="en-US"/>
        </w:rPr>
        <w:t xml:space="preserve">Observation </w:t>
      </w:r>
      <w:r w:rsidR="00777550">
        <w:rPr>
          <w:b/>
          <w:lang w:val="en-US"/>
        </w:rPr>
        <w:t>5</w:t>
      </w:r>
      <w:r w:rsidRPr="0049679D">
        <w:rPr>
          <w:b/>
          <w:lang w:val="en-US"/>
        </w:rPr>
        <w:t>:</w:t>
      </w:r>
      <w:r>
        <w:rPr>
          <w:lang w:val="en-US"/>
        </w:rPr>
        <w:t xml:space="preserve"> MCG split and SCG split bearers may pose scheduling coordination questions, but no problems to end-to-end data delivery.</w:t>
      </w:r>
    </w:p>
    <w:p w14:paraId="3E94963E" w14:textId="7C4EE37D" w:rsidR="0049679D" w:rsidRDefault="0049679D" w:rsidP="0069172D">
      <w:pPr>
        <w:tabs>
          <w:tab w:val="num" w:pos="720"/>
          <w:tab w:val="left" w:pos="1485"/>
        </w:tabs>
        <w:rPr>
          <w:lang w:val="en-US"/>
        </w:rPr>
      </w:pPr>
      <w:r>
        <w:rPr>
          <w:lang w:val="en-US"/>
        </w:rPr>
        <w:t>However, both MCG and SCG bearers are different: Only one radio leg is used for each. For MCG, since the MN transmissions are always going to be necessary (at least for SRBs), it seems clear that at least some MN transmissions have to be prioritized over SN transmissions. Therefore, the SCG bearers may face issues in case both MCG and SCG bearers are configured at the same time: Both cannot be s</w:t>
      </w:r>
      <w:r w:rsidR="00AB2215">
        <w:rPr>
          <w:lang w:val="en-US"/>
        </w:rPr>
        <w:t>cheduled at the same time in UL for a 1Tx UE, and since MCG transmissions may have to be prioritized, the SCG bearers may face problems with end-to-end data delivery, since the UL transmissions could be blocked.</w:t>
      </w:r>
    </w:p>
    <w:p w14:paraId="4BCEA7CD" w14:textId="61E07AEE" w:rsidR="0049679D" w:rsidRDefault="0049679D" w:rsidP="0069172D">
      <w:pPr>
        <w:tabs>
          <w:tab w:val="num" w:pos="720"/>
          <w:tab w:val="left" w:pos="1485"/>
        </w:tabs>
        <w:rPr>
          <w:lang w:val="en-US"/>
        </w:rPr>
      </w:pPr>
      <w:r w:rsidRPr="00AB2215">
        <w:rPr>
          <w:b/>
          <w:lang w:val="en-US"/>
        </w:rPr>
        <w:t xml:space="preserve">Observation </w:t>
      </w:r>
      <w:r w:rsidR="00777550">
        <w:rPr>
          <w:b/>
          <w:lang w:val="en-US"/>
        </w:rPr>
        <w:t>6</w:t>
      </w:r>
      <w:r w:rsidRPr="00AB2215">
        <w:rPr>
          <w:b/>
          <w:lang w:val="en-US"/>
        </w:rPr>
        <w:t>:</w:t>
      </w:r>
      <w:r>
        <w:rPr>
          <w:lang w:val="en-US"/>
        </w:rPr>
        <w:t xml:space="preserve"> </w:t>
      </w:r>
      <w:r w:rsidR="00AB2215">
        <w:rPr>
          <w:lang w:val="en-US"/>
        </w:rPr>
        <w:t>SCG bearers may not work well for 1Tx UE.</w:t>
      </w:r>
    </w:p>
    <w:p w14:paraId="1CCE7BE3" w14:textId="75A62B33" w:rsidR="00AB2215" w:rsidRDefault="00AB2215" w:rsidP="0069172D">
      <w:pPr>
        <w:tabs>
          <w:tab w:val="num" w:pos="720"/>
          <w:tab w:val="left" w:pos="1485"/>
        </w:tabs>
        <w:rPr>
          <w:lang w:val="en-US"/>
        </w:rPr>
      </w:pPr>
      <w:r>
        <w:rPr>
          <w:lang w:val="en-US"/>
        </w:rPr>
        <w:lastRenderedPageBreak/>
        <w:t>Considering the potential design challenges and above observations, it seems that the use of SCG bearer for 1Tx UEs might pose problems. Therefore, SCG bearers might be disabled for such 1Tx usage scenarios.</w:t>
      </w:r>
    </w:p>
    <w:p w14:paraId="02D42A1C" w14:textId="4AB62BCE" w:rsidR="00AB2215" w:rsidRDefault="00257F17" w:rsidP="0069172D">
      <w:pPr>
        <w:tabs>
          <w:tab w:val="num" w:pos="720"/>
          <w:tab w:val="left" w:pos="1485"/>
        </w:tabs>
        <w:rPr>
          <w:lang w:val="en-US"/>
        </w:rPr>
      </w:pPr>
      <w:r>
        <w:rPr>
          <w:b/>
          <w:lang w:val="en-US"/>
        </w:rPr>
        <w:t xml:space="preserve">Proposal </w:t>
      </w:r>
      <w:r w:rsidR="00777550">
        <w:rPr>
          <w:b/>
          <w:lang w:val="en-US"/>
        </w:rPr>
        <w:t>7</w:t>
      </w:r>
      <w:r w:rsidR="00AB2215" w:rsidRPr="00AB2215">
        <w:rPr>
          <w:b/>
          <w:lang w:val="en-US"/>
        </w:rPr>
        <w:t>:</w:t>
      </w:r>
      <w:r w:rsidR="00AB2215">
        <w:rPr>
          <w:lang w:val="en-US"/>
        </w:rPr>
        <w:t xml:space="preserve"> Support of SCG bearer is optional for 1Tx UEs.</w:t>
      </w:r>
    </w:p>
    <w:p w14:paraId="4B47E205" w14:textId="77777777" w:rsidR="0069172D" w:rsidRPr="006E13D1" w:rsidRDefault="0069172D" w:rsidP="0069172D">
      <w:pPr>
        <w:pStyle w:val="Heading1"/>
      </w:pPr>
      <w:r>
        <w:t>5</w:t>
      </w:r>
      <w:r w:rsidRPr="006E13D1">
        <w:tab/>
      </w:r>
      <w:r>
        <w:t>Conclusions</w:t>
      </w:r>
    </w:p>
    <w:p w14:paraId="1FB6A4F9" w14:textId="4E4980C8" w:rsidR="0069172D" w:rsidRDefault="00AB2215" w:rsidP="0069172D">
      <w:r>
        <w:t>We have discussed the impacts of the RAN1 decision to support 1Tx UEs for EN-DC,</w:t>
      </w:r>
      <w:r w:rsidR="00376397">
        <w:t xml:space="preserve"> and observed the following:</w:t>
      </w:r>
      <w:r>
        <w:t xml:space="preserve"> </w:t>
      </w:r>
    </w:p>
    <w:p w14:paraId="3857341F" w14:textId="77777777" w:rsidR="00AB2215" w:rsidRDefault="00AB2215" w:rsidP="00AB2215">
      <w:pPr>
        <w:tabs>
          <w:tab w:val="left" w:pos="1485"/>
        </w:tabs>
        <w:rPr>
          <w:lang w:val="en-US"/>
        </w:rPr>
      </w:pPr>
      <w:r w:rsidRPr="00F9053E">
        <w:rPr>
          <w:b/>
          <w:lang w:val="en-US"/>
        </w:rPr>
        <w:t>Observation 1:</w:t>
      </w:r>
      <w:r>
        <w:rPr>
          <w:b/>
          <w:lang w:val="en-US"/>
        </w:rPr>
        <w:t xml:space="preserve"> </w:t>
      </w:r>
      <w:r w:rsidRPr="00C86D16">
        <w:rPr>
          <w:lang w:val="en-US"/>
        </w:rPr>
        <w:t>Different conclusions on 1 Tx UE in UL DC were reached for LTE – NR UL and LTE UL DC. Reasons for different conclusions are unclear.</w:t>
      </w:r>
    </w:p>
    <w:p w14:paraId="04774E46" w14:textId="77777777" w:rsidR="00AB2215" w:rsidRPr="003C0CE1" w:rsidRDefault="00AB2215" w:rsidP="00AB2215">
      <w:pPr>
        <w:tabs>
          <w:tab w:val="left" w:pos="1485"/>
        </w:tabs>
        <w:rPr>
          <w:lang w:val="en-US"/>
        </w:rPr>
      </w:pPr>
      <w:r w:rsidRPr="0076672B">
        <w:rPr>
          <w:b/>
          <w:lang w:val="en-US"/>
        </w:rPr>
        <w:t xml:space="preserve">Observation </w:t>
      </w:r>
      <w:r>
        <w:rPr>
          <w:b/>
          <w:lang w:val="en-US"/>
        </w:rPr>
        <w:t>2</w:t>
      </w:r>
      <w:r w:rsidRPr="0076672B">
        <w:rPr>
          <w:b/>
          <w:lang w:val="en-US"/>
        </w:rPr>
        <w:t>:</w:t>
      </w:r>
      <w:r>
        <w:rPr>
          <w:lang w:val="en-US"/>
        </w:rPr>
        <w:t xml:space="preserve"> Assuming support for 1Tx UE for EN-DC will likely create more work for RAN2 design.</w:t>
      </w:r>
    </w:p>
    <w:p w14:paraId="70029211" w14:textId="12C7AAD0" w:rsidR="00AB2215" w:rsidRDefault="00AB2215" w:rsidP="00AB2215">
      <w:r w:rsidRPr="003C0CE1">
        <w:rPr>
          <w:b/>
        </w:rPr>
        <w:t>Observation 3:</w:t>
      </w:r>
      <w:r>
        <w:t xml:space="preserve"> 1Tx UE impacts RAN2 EN-DC design of UL scheduling, UL HARQ, SCG bearers, RRC message transmission, switching of UL direction and UE capabilities.</w:t>
      </w:r>
    </w:p>
    <w:p w14:paraId="2FC49EF7" w14:textId="77777777" w:rsidR="00777550" w:rsidRDefault="00777550" w:rsidP="00777550">
      <w:r w:rsidRPr="00A059F7">
        <w:rPr>
          <w:b/>
        </w:rPr>
        <w:t>Observation 4:</w:t>
      </w:r>
      <w:r>
        <w:t xml:space="preserve"> gains compared to standalone LTE operation needs to be studied.</w:t>
      </w:r>
    </w:p>
    <w:p w14:paraId="3042ADAA" w14:textId="49BB49F6" w:rsidR="00376397" w:rsidRDefault="00376397" w:rsidP="00376397">
      <w:pPr>
        <w:tabs>
          <w:tab w:val="num" w:pos="720"/>
          <w:tab w:val="left" w:pos="1485"/>
        </w:tabs>
        <w:rPr>
          <w:lang w:val="en-US"/>
        </w:rPr>
      </w:pPr>
      <w:r w:rsidRPr="0049679D">
        <w:rPr>
          <w:b/>
          <w:lang w:val="en-US"/>
        </w:rPr>
        <w:t xml:space="preserve">Observation </w:t>
      </w:r>
      <w:r w:rsidR="00777550">
        <w:rPr>
          <w:b/>
          <w:lang w:val="en-US"/>
        </w:rPr>
        <w:t>5</w:t>
      </w:r>
      <w:r w:rsidRPr="0049679D">
        <w:rPr>
          <w:b/>
          <w:lang w:val="en-US"/>
        </w:rPr>
        <w:t>:</w:t>
      </w:r>
      <w:r>
        <w:rPr>
          <w:lang w:val="en-US"/>
        </w:rPr>
        <w:t xml:space="preserve"> MCG split and SCG split bearers may pose scheduling coordination questions, but no problems to end-to-end data delivery.</w:t>
      </w:r>
    </w:p>
    <w:p w14:paraId="10F0ABAE" w14:textId="31115130" w:rsidR="00376397" w:rsidRPr="00376397" w:rsidRDefault="00376397" w:rsidP="00376397">
      <w:pPr>
        <w:tabs>
          <w:tab w:val="num" w:pos="720"/>
          <w:tab w:val="left" w:pos="1485"/>
        </w:tabs>
        <w:rPr>
          <w:lang w:val="en-US"/>
        </w:rPr>
      </w:pPr>
      <w:r w:rsidRPr="00AB2215">
        <w:rPr>
          <w:b/>
          <w:lang w:val="en-US"/>
        </w:rPr>
        <w:t xml:space="preserve">Observation </w:t>
      </w:r>
      <w:r w:rsidR="00777550">
        <w:rPr>
          <w:b/>
          <w:lang w:val="en-US"/>
        </w:rPr>
        <w:t>6</w:t>
      </w:r>
      <w:r w:rsidRPr="00AB2215">
        <w:rPr>
          <w:b/>
          <w:lang w:val="en-US"/>
        </w:rPr>
        <w:t>:</w:t>
      </w:r>
      <w:r>
        <w:rPr>
          <w:lang w:val="en-US"/>
        </w:rPr>
        <w:t xml:space="preserve"> SCG bearers may not work well for 1Tx UE.</w:t>
      </w:r>
    </w:p>
    <w:p w14:paraId="5DEF46E8" w14:textId="623B0548" w:rsidR="00AB2215" w:rsidRPr="006E13D1" w:rsidRDefault="00376397" w:rsidP="0069172D">
      <w:r>
        <w:t>Based on these, we propose the following:</w:t>
      </w:r>
    </w:p>
    <w:p w14:paraId="731F53A1" w14:textId="77777777" w:rsidR="0076672B" w:rsidRDefault="0076672B" w:rsidP="0076672B">
      <w:pPr>
        <w:tabs>
          <w:tab w:val="left" w:pos="1485"/>
        </w:tabs>
      </w:pPr>
      <w:r w:rsidRPr="00C86D16">
        <w:rPr>
          <w:b/>
        </w:rPr>
        <w:t>Proposal 1:</w:t>
      </w:r>
      <w:r>
        <w:t xml:space="preserve"> RAN2 should consider the protocol stack impacts of 1Tx UE to EN-DC and indicate the impacts to RAN1 and RAN4.</w:t>
      </w:r>
    </w:p>
    <w:p w14:paraId="13D82C6B" w14:textId="42ECCE31" w:rsidR="0076672B" w:rsidRDefault="0076672B" w:rsidP="0076672B">
      <w:pPr>
        <w:tabs>
          <w:tab w:val="left" w:pos="1485"/>
        </w:tabs>
        <w:rPr>
          <w:b/>
        </w:rPr>
      </w:pPr>
      <w:r>
        <w:rPr>
          <w:b/>
        </w:rPr>
        <w:t>Proposal 2</w:t>
      </w:r>
      <w:r w:rsidRPr="00F9053E">
        <w:rPr>
          <w:b/>
        </w:rPr>
        <w:t xml:space="preserve">: </w:t>
      </w:r>
      <w:r>
        <w:t xml:space="preserve">Send LS to </w:t>
      </w:r>
      <w:r w:rsidRPr="00C86D16">
        <w:t>RAN4 on whether the support of 1TX UE for EN-DC would be per UE, per band or per band combination</w:t>
      </w:r>
      <w:r w:rsidR="0034481D" w:rsidRPr="0034481D">
        <w:t xml:space="preserve"> </w:t>
      </w:r>
      <w:r w:rsidR="0034481D">
        <w:t>and request information on problematic band combinations</w:t>
      </w:r>
      <w:r w:rsidRPr="00C86D16">
        <w:t xml:space="preserve">. </w:t>
      </w:r>
    </w:p>
    <w:p w14:paraId="60C3C414" w14:textId="63968122" w:rsidR="00257F17" w:rsidRPr="00AB2215" w:rsidRDefault="00257F17" w:rsidP="00257F17">
      <w:pPr>
        <w:tabs>
          <w:tab w:val="left" w:pos="1485"/>
        </w:tabs>
      </w:pPr>
      <w:r>
        <w:rPr>
          <w:b/>
        </w:rPr>
        <w:t xml:space="preserve">Proposal 3: </w:t>
      </w:r>
      <w:r w:rsidRPr="00AB2215">
        <w:t>Send LS to RAN1 to clarify whether 1Tx UEs should only be supported for EN-DC, or also for other MR-DC options.</w:t>
      </w:r>
    </w:p>
    <w:p w14:paraId="1FE4DCE8" w14:textId="2DCEEC4A" w:rsidR="0034481D" w:rsidRPr="00AB2215" w:rsidRDefault="0034481D" w:rsidP="00257F17">
      <w:pPr>
        <w:tabs>
          <w:tab w:val="left" w:pos="1485"/>
        </w:tabs>
      </w:pPr>
      <w:r w:rsidRPr="00777550">
        <w:rPr>
          <w:b/>
        </w:rPr>
        <w:t>Proposal 4:</w:t>
      </w:r>
      <w:r>
        <w:t xml:space="preserve"> Ask RAN4 whether UE RF implementation challenges are radio technology agnostic or dependent. </w:t>
      </w:r>
    </w:p>
    <w:p w14:paraId="05C1B9CE" w14:textId="7191DF36" w:rsidR="00AB2215" w:rsidRDefault="00257F17" w:rsidP="00257F17">
      <w:r>
        <w:rPr>
          <w:b/>
        </w:rPr>
        <w:t xml:space="preserve">Proposal </w:t>
      </w:r>
      <w:r w:rsidR="0013571C">
        <w:rPr>
          <w:b/>
        </w:rPr>
        <w:t>5</w:t>
      </w:r>
      <w:r w:rsidR="00AB2215" w:rsidRPr="003C0CE1">
        <w:rPr>
          <w:b/>
        </w:rPr>
        <w:t>:</w:t>
      </w:r>
      <w:r w:rsidR="00AB2215">
        <w:t xml:space="preserve"> A dedicated agenda item would be needed to progress the RAN2 work on 1Tx UE.</w:t>
      </w:r>
    </w:p>
    <w:p w14:paraId="0F29CFDD" w14:textId="77777777" w:rsidR="00777550" w:rsidRDefault="00777550" w:rsidP="00777550">
      <w:r w:rsidRPr="001B108A">
        <w:rPr>
          <w:b/>
        </w:rPr>
        <w:t>Proposal 6:</w:t>
      </w:r>
      <w:r>
        <w:t xml:space="preserve"> Ask RAN3 whether UL scheduling coordination would be possible to be supported over X2/Xn.</w:t>
      </w:r>
    </w:p>
    <w:p w14:paraId="2C902BC0" w14:textId="00646AB8" w:rsidR="00AB2215" w:rsidRDefault="00257F17" w:rsidP="00AB2215">
      <w:pPr>
        <w:tabs>
          <w:tab w:val="num" w:pos="720"/>
          <w:tab w:val="left" w:pos="1485"/>
        </w:tabs>
        <w:rPr>
          <w:lang w:val="en-US"/>
        </w:rPr>
      </w:pPr>
      <w:r>
        <w:rPr>
          <w:b/>
          <w:lang w:val="en-US"/>
        </w:rPr>
        <w:t xml:space="preserve">Proposal </w:t>
      </w:r>
      <w:r w:rsidR="00777550">
        <w:rPr>
          <w:b/>
          <w:lang w:val="en-US"/>
        </w:rPr>
        <w:t>7</w:t>
      </w:r>
      <w:r w:rsidR="00AB2215" w:rsidRPr="00AB2215">
        <w:rPr>
          <w:b/>
          <w:lang w:val="en-US"/>
        </w:rPr>
        <w:t>:</w:t>
      </w:r>
      <w:r w:rsidR="00AB2215">
        <w:rPr>
          <w:lang w:val="en-US"/>
        </w:rPr>
        <w:t xml:space="preserve"> Support of SCG bearer is optional for 1Tx UEs.</w:t>
      </w:r>
    </w:p>
    <w:p w14:paraId="3CE39F0D" w14:textId="77777777" w:rsidR="0069172D" w:rsidRPr="00AB2215" w:rsidRDefault="0069172D" w:rsidP="00CD4C7B">
      <w:pPr>
        <w:rPr>
          <w:lang w:val="en-US"/>
        </w:rPr>
      </w:pPr>
    </w:p>
    <w:p w14:paraId="3107F588" w14:textId="3EAEFD9E" w:rsidR="00080512" w:rsidRPr="00CD4C7B" w:rsidRDefault="009F6F9B" w:rsidP="00CD4C7B">
      <w:r>
        <w:t xml:space="preserve">A draft LS based on the proposals can be found in </w:t>
      </w:r>
      <w:hyperlink r:id="rId21" w:history="1">
        <w:r w:rsidRPr="00777550">
          <w:rPr>
            <w:rStyle w:val="Hyperlink"/>
          </w:rPr>
          <w:t>R2-17</w:t>
        </w:r>
        <w:r w:rsidR="00BF707B" w:rsidRPr="00777550">
          <w:rPr>
            <w:rStyle w:val="Hyperlink"/>
          </w:rPr>
          <w:t>06597</w:t>
        </w:r>
      </w:hyperlink>
      <w:r w:rsidRPr="00777550">
        <w:t>.</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CEABB" w14:textId="77777777" w:rsidR="00B104E4" w:rsidRDefault="00B104E4">
      <w:r>
        <w:separator/>
      </w:r>
    </w:p>
  </w:endnote>
  <w:endnote w:type="continuationSeparator" w:id="0">
    <w:p w14:paraId="69445477" w14:textId="77777777" w:rsidR="00B104E4" w:rsidRDefault="00B104E4">
      <w:r>
        <w:continuationSeparator/>
      </w:r>
    </w:p>
  </w:endnote>
  <w:endnote w:type="continuationNotice" w:id="1">
    <w:p w14:paraId="4A90ABEA" w14:textId="77777777" w:rsidR="00B104E4" w:rsidRDefault="00B104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0BDC1" w14:textId="77777777" w:rsidR="00B104E4" w:rsidRDefault="00B104E4">
      <w:r>
        <w:separator/>
      </w:r>
    </w:p>
  </w:footnote>
  <w:footnote w:type="continuationSeparator" w:id="0">
    <w:p w14:paraId="3EFCAE69" w14:textId="77777777" w:rsidR="00B104E4" w:rsidRDefault="00B104E4">
      <w:r>
        <w:continuationSeparator/>
      </w:r>
    </w:p>
  </w:footnote>
  <w:footnote w:type="continuationNotice" w:id="1">
    <w:p w14:paraId="06A147CF" w14:textId="77777777" w:rsidR="00B104E4" w:rsidRDefault="00B104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635068"/>
    <w:multiLevelType w:val="hybridMultilevel"/>
    <w:tmpl w:val="C82833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44278B2"/>
    <w:multiLevelType w:val="hybridMultilevel"/>
    <w:tmpl w:val="44F865B0"/>
    <w:lvl w:ilvl="0" w:tplc="1B70017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4F0F"/>
    <w:rsid w:val="00033397"/>
    <w:rsid w:val="00040095"/>
    <w:rsid w:val="00080512"/>
    <w:rsid w:val="00084749"/>
    <w:rsid w:val="00090468"/>
    <w:rsid w:val="000B7BCF"/>
    <w:rsid w:val="000C522B"/>
    <w:rsid w:val="000D58AB"/>
    <w:rsid w:val="000F275C"/>
    <w:rsid w:val="00112F1A"/>
    <w:rsid w:val="0013571C"/>
    <w:rsid w:val="00145075"/>
    <w:rsid w:val="001741A0"/>
    <w:rsid w:val="00194CD0"/>
    <w:rsid w:val="001B49C9"/>
    <w:rsid w:val="001F168B"/>
    <w:rsid w:val="001F7831"/>
    <w:rsid w:val="00204045"/>
    <w:rsid w:val="00220B82"/>
    <w:rsid w:val="0022606D"/>
    <w:rsid w:val="00257F17"/>
    <w:rsid w:val="002747EC"/>
    <w:rsid w:val="002855BF"/>
    <w:rsid w:val="002B4FBC"/>
    <w:rsid w:val="002F0D22"/>
    <w:rsid w:val="0030587E"/>
    <w:rsid w:val="003172DC"/>
    <w:rsid w:val="00326069"/>
    <w:rsid w:val="0034481D"/>
    <w:rsid w:val="0035462D"/>
    <w:rsid w:val="00376397"/>
    <w:rsid w:val="003B40AD"/>
    <w:rsid w:val="003C0CE1"/>
    <w:rsid w:val="003C299D"/>
    <w:rsid w:val="003C4E37"/>
    <w:rsid w:val="003E16BE"/>
    <w:rsid w:val="004006E8"/>
    <w:rsid w:val="00401855"/>
    <w:rsid w:val="00477455"/>
    <w:rsid w:val="0049679D"/>
    <w:rsid w:val="004A60AA"/>
    <w:rsid w:val="004A6AEF"/>
    <w:rsid w:val="004D3578"/>
    <w:rsid w:val="004D380D"/>
    <w:rsid w:val="004E213A"/>
    <w:rsid w:val="00503171"/>
    <w:rsid w:val="00506C28"/>
    <w:rsid w:val="00534DA0"/>
    <w:rsid w:val="00543E6C"/>
    <w:rsid w:val="00565087"/>
    <w:rsid w:val="0056573F"/>
    <w:rsid w:val="00611566"/>
    <w:rsid w:val="006141FC"/>
    <w:rsid w:val="00646D99"/>
    <w:rsid w:val="00656910"/>
    <w:rsid w:val="0069172D"/>
    <w:rsid w:val="006C66D8"/>
    <w:rsid w:val="006D1E24"/>
    <w:rsid w:val="006E1417"/>
    <w:rsid w:val="006F4B1C"/>
    <w:rsid w:val="006F6A2C"/>
    <w:rsid w:val="00710201"/>
    <w:rsid w:val="00734A5B"/>
    <w:rsid w:val="00744E76"/>
    <w:rsid w:val="00757D40"/>
    <w:rsid w:val="0076672B"/>
    <w:rsid w:val="00777550"/>
    <w:rsid w:val="00781F0F"/>
    <w:rsid w:val="0078727C"/>
    <w:rsid w:val="0079049D"/>
    <w:rsid w:val="007A103E"/>
    <w:rsid w:val="007B18D8"/>
    <w:rsid w:val="007C095F"/>
    <w:rsid w:val="007C17B8"/>
    <w:rsid w:val="008028A4"/>
    <w:rsid w:val="00813245"/>
    <w:rsid w:val="008768CA"/>
    <w:rsid w:val="00877EF9"/>
    <w:rsid w:val="00880559"/>
    <w:rsid w:val="008844A5"/>
    <w:rsid w:val="008B5306"/>
    <w:rsid w:val="0090271F"/>
    <w:rsid w:val="00902DB9"/>
    <w:rsid w:val="0090466A"/>
    <w:rsid w:val="00936071"/>
    <w:rsid w:val="00940212"/>
    <w:rsid w:val="00942EC2"/>
    <w:rsid w:val="00961B32"/>
    <w:rsid w:val="00970DB3"/>
    <w:rsid w:val="00974BB0"/>
    <w:rsid w:val="009A0AF3"/>
    <w:rsid w:val="009A3A38"/>
    <w:rsid w:val="009B07CD"/>
    <w:rsid w:val="009C19E9"/>
    <w:rsid w:val="009C3BF8"/>
    <w:rsid w:val="009F6F9B"/>
    <w:rsid w:val="00A10F02"/>
    <w:rsid w:val="00A204CA"/>
    <w:rsid w:val="00A53724"/>
    <w:rsid w:val="00A81CCF"/>
    <w:rsid w:val="00A82346"/>
    <w:rsid w:val="00A94CA5"/>
    <w:rsid w:val="00A9671C"/>
    <w:rsid w:val="00AA1553"/>
    <w:rsid w:val="00AB2215"/>
    <w:rsid w:val="00B104E4"/>
    <w:rsid w:val="00B15449"/>
    <w:rsid w:val="00B20C50"/>
    <w:rsid w:val="00B47FD1"/>
    <w:rsid w:val="00B516BB"/>
    <w:rsid w:val="00BD6F7F"/>
    <w:rsid w:val="00BF707B"/>
    <w:rsid w:val="00C12B51"/>
    <w:rsid w:val="00C24650"/>
    <w:rsid w:val="00C33079"/>
    <w:rsid w:val="00C83A13"/>
    <w:rsid w:val="00C86D16"/>
    <w:rsid w:val="00C9068C"/>
    <w:rsid w:val="00C92967"/>
    <w:rsid w:val="00CA3D0C"/>
    <w:rsid w:val="00CA654B"/>
    <w:rsid w:val="00CD4C7B"/>
    <w:rsid w:val="00D738D6"/>
    <w:rsid w:val="00D746AF"/>
    <w:rsid w:val="00D80795"/>
    <w:rsid w:val="00D854BE"/>
    <w:rsid w:val="00D87E00"/>
    <w:rsid w:val="00D9134D"/>
    <w:rsid w:val="00D96D11"/>
    <w:rsid w:val="00DA7A03"/>
    <w:rsid w:val="00DB1818"/>
    <w:rsid w:val="00DC309B"/>
    <w:rsid w:val="00DC4DA2"/>
    <w:rsid w:val="00DD3945"/>
    <w:rsid w:val="00E32615"/>
    <w:rsid w:val="00E337BE"/>
    <w:rsid w:val="00E51049"/>
    <w:rsid w:val="00E62835"/>
    <w:rsid w:val="00E77645"/>
    <w:rsid w:val="00E83697"/>
    <w:rsid w:val="00EC4A25"/>
    <w:rsid w:val="00F025A2"/>
    <w:rsid w:val="00F04C49"/>
    <w:rsid w:val="00F07388"/>
    <w:rsid w:val="00F2026E"/>
    <w:rsid w:val="00F2210A"/>
    <w:rsid w:val="00F30718"/>
    <w:rsid w:val="00F37743"/>
    <w:rsid w:val="00F54A3D"/>
    <w:rsid w:val="00F54CB0"/>
    <w:rsid w:val="00F653B8"/>
    <w:rsid w:val="00F71B89"/>
    <w:rsid w:val="00F7353C"/>
    <w:rsid w:val="00F76F8F"/>
    <w:rsid w:val="00F9053E"/>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7D6A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F9053E"/>
    <w:pPr>
      <w:ind w:left="720"/>
      <w:contextualSpacing/>
    </w:pPr>
  </w:style>
  <w:style w:type="character" w:styleId="CommentReference">
    <w:name w:val="annotation reference"/>
    <w:basedOn w:val="DefaultParagraphFont"/>
    <w:rsid w:val="008844A5"/>
    <w:rPr>
      <w:sz w:val="16"/>
      <w:szCs w:val="16"/>
    </w:rPr>
  </w:style>
  <w:style w:type="paragraph" w:styleId="CommentText">
    <w:name w:val="annotation text"/>
    <w:basedOn w:val="Normal"/>
    <w:link w:val="CommentTextChar"/>
    <w:rsid w:val="008844A5"/>
  </w:style>
  <w:style w:type="character" w:customStyle="1" w:styleId="CommentTextChar">
    <w:name w:val="Comment Text Char"/>
    <w:basedOn w:val="DefaultParagraphFont"/>
    <w:link w:val="CommentText"/>
    <w:rsid w:val="008844A5"/>
    <w:rPr>
      <w:lang w:eastAsia="en-US"/>
    </w:rPr>
  </w:style>
  <w:style w:type="paragraph" w:styleId="CommentSubject">
    <w:name w:val="annotation subject"/>
    <w:basedOn w:val="CommentText"/>
    <w:next w:val="CommentText"/>
    <w:link w:val="CommentSubjectChar"/>
    <w:rsid w:val="008844A5"/>
    <w:rPr>
      <w:b/>
      <w:bCs/>
    </w:rPr>
  </w:style>
  <w:style w:type="character" w:customStyle="1" w:styleId="CommentSubjectChar">
    <w:name w:val="Comment Subject Char"/>
    <w:basedOn w:val="CommentTextChar"/>
    <w:link w:val="CommentSubject"/>
    <w:rsid w:val="008844A5"/>
    <w:rPr>
      <w:b/>
      <w:bCs/>
      <w:lang w:eastAsia="en-US"/>
    </w:rPr>
  </w:style>
  <w:style w:type="paragraph" w:styleId="BalloonText">
    <w:name w:val="Balloon Text"/>
    <w:basedOn w:val="Normal"/>
    <w:link w:val="BalloonTextChar"/>
    <w:rsid w:val="008844A5"/>
    <w:pPr>
      <w:spacing w:after="0"/>
    </w:pPr>
    <w:rPr>
      <w:rFonts w:ascii="Segoe UI" w:hAnsi="Segoe UI" w:cs="Segoe UI"/>
      <w:sz w:val="18"/>
      <w:szCs w:val="18"/>
    </w:rPr>
  </w:style>
  <w:style w:type="character" w:customStyle="1" w:styleId="BalloonTextChar">
    <w:name w:val="Balloon Text Char"/>
    <w:basedOn w:val="DefaultParagraphFont"/>
    <w:link w:val="BalloonText"/>
    <w:rsid w:val="008844A5"/>
    <w:rPr>
      <w:rFonts w:ascii="Segoe UI" w:hAnsi="Segoe UI" w:cs="Segoe UI"/>
      <w:sz w:val="18"/>
      <w:szCs w:val="18"/>
      <w:lang w:eastAsia="en-US"/>
    </w:rPr>
  </w:style>
  <w:style w:type="character" w:styleId="Mention">
    <w:name w:val="Mention"/>
    <w:basedOn w:val="DefaultParagraphFont"/>
    <w:uiPriority w:val="99"/>
    <w:semiHidden/>
    <w:unhideWhenUsed/>
    <w:rsid w:val="0076672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890956">
      <w:bodyDiv w:val="1"/>
      <w:marLeft w:val="0"/>
      <w:marRight w:val="0"/>
      <w:marTop w:val="0"/>
      <w:marBottom w:val="0"/>
      <w:divBdr>
        <w:top w:val="none" w:sz="0" w:space="0" w:color="auto"/>
        <w:left w:val="none" w:sz="0" w:space="0" w:color="auto"/>
        <w:bottom w:val="none" w:sz="0" w:space="0" w:color="auto"/>
        <w:right w:val="none" w:sz="0" w:space="0" w:color="auto"/>
      </w:divBdr>
    </w:div>
    <w:div w:id="201768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1_RL1/TSGR1_89/Report/Draft_Minutes_report_RAN1%2389_v010.zip"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yperlink" Target="http://www.3gpp.org/ftp/tsg_ran/WG2_RL2/TSGR2_AHs/2017_06_NR/Docs/R2-1706597.zip" TargetMode="External"/><Relationship Id="rId7" Type="http://schemas.openxmlformats.org/officeDocument/2006/relationships/styles" Target="styles.xml"/><Relationship Id="rId12" Type="http://schemas.openxmlformats.org/officeDocument/2006/relationships/hyperlink" Target="http://www.3gpp.org/ftp/tsg_ran/WG1_RL1/TSGR1_89/Report/Draft_Minutes_report_RAN1%2389_v010.zip"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http://www.3gpp.org/ftp/tsg_ran/WG1_RL1/TSGR1_89/Docs/R1-1708276.zip" TargetMode="External"/><Relationship Id="rId20" Type="http://schemas.openxmlformats.org/officeDocument/2006/relationships/hyperlink" Target="http://www.3gpp.org/ftp/tsg_ran/WG2_RL2/TSGR2_AHs/2017_06_NR/Docs/R2-170641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1_RL1/TSGR1_89/Docs/R1-1709586.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89/Docs/R1-170827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SP-5AIRPNAIUNRU-859666464-447</_dlc_DocId>
    <_dlc_DocIdUrl xmlns="71c5aaf6-e6ce-465b-b873-5148d2a4c105">
      <Url>https://nokia.sharepoint.com/sites/c5g/e2earch/_layouts/15/DocIdRedir.aspx?ID=SP-5AIRPNAIUNRU-859666464-447</Url>
      <Description>SP-5AIRPNAIUNRU-859666464-447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008D2-25A9-45EB-ACC9-14B820D1A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2807B2-50BD-4857-8C82-B905D5A1384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B584EFC-729A-41B7-8001-66072D251501}">
  <ds:schemaRefs>
    <ds:schemaRef ds:uri="http://schemas.microsoft.com/sharepoint/v3/contenttype/forms"/>
  </ds:schemaRefs>
</ds:datastoreItem>
</file>

<file path=customXml/itemProps4.xml><?xml version="1.0" encoding="utf-8"?>
<ds:datastoreItem xmlns:ds="http://schemas.openxmlformats.org/officeDocument/2006/customXml" ds:itemID="{2EEFB9FC-0EFA-4681-ADA5-431A511112F8}">
  <ds:schemaRefs>
    <ds:schemaRef ds:uri="http://schemas.microsoft.com/sharepoint/events"/>
  </ds:schemaRefs>
</ds:datastoreItem>
</file>

<file path=customXml/itemProps5.xml><?xml version="1.0" encoding="utf-8"?>
<ds:datastoreItem xmlns:ds="http://schemas.openxmlformats.org/officeDocument/2006/customXml" ds:itemID="{8490FA07-7018-4D48-AEDA-0BDA5B7B7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1388</Words>
  <Characters>11246</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Tero Henttonen</dc:creator>
  <cp:lastModifiedBy>Tero Henttonen</cp:lastModifiedBy>
  <cp:revision>3</cp:revision>
  <dcterms:created xsi:type="dcterms:W3CDTF">2017-06-16T17:33:00Z</dcterms:created>
  <dcterms:modified xsi:type="dcterms:W3CDTF">2017-06-16T17:34:00Z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5e676e37-b777-4d25-a06a-2489bc191bb2</vt:lpwstr>
  </property>
</Properties>
</file>